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简体" w:hAnsi="宋体" w:eastAsia="方正小标宋简体"/>
          <w:color w:val="000000"/>
          <w:sz w:val="72"/>
          <w:szCs w:val="72"/>
          <w:lang w:eastAsia="zh-CN"/>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方正小标宋简体" w:hAnsi="宋体" w:eastAsia="方正小标宋简体"/>
          <w:color w:val="000000"/>
          <w:sz w:val="72"/>
          <w:szCs w:val="72"/>
          <w:lang w:val="en-US" w:eastAsia="zh-CN"/>
        </w:rPr>
      </w:pPr>
      <w:bookmarkStart w:id="1" w:name="_Toc15396475"/>
      <w:bookmarkStart w:id="2" w:name="_Toc15396597"/>
      <w:bookmarkStart w:id="3" w:name="_Toc15377425"/>
      <w:bookmarkStart w:id="4" w:name="_Toc15378441"/>
      <w:bookmarkStart w:id="5" w:name="_Toc15377193"/>
      <w:r>
        <w:rPr>
          <w:rFonts w:hint="eastAsia" w:ascii="方正小标宋简体" w:hAnsi="宋体" w:eastAsia="方正小标宋简体"/>
          <w:color w:val="000000"/>
          <w:sz w:val="72"/>
          <w:szCs w:val="72"/>
          <w:lang w:val="en-US" w:eastAsia="zh-CN"/>
        </w:rPr>
        <w:t>2020年度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lang w:val="en-US" w:eastAsia="zh-CN"/>
        </w:rPr>
      </w:pPr>
      <w:bookmarkStart w:id="6" w:name="_Toc15396598"/>
      <w:bookmarkStart w:id="7" w:name="_Toc15377426"/>
      <w:bookmarkStart w:id="8" w:name="_Toc15378442"/>
      <w:bookmarkStart w:id="9" w:name="_Toc15396476"/>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val="en-US" w:eastAsia="zh-CN"/>
        </w:rPr>
        <w:t>供销合作社联合社</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w:t>
      </w:r>
      <w:r>
        <w:rPr>
          <w:rFonts w:hint="eastAsia" w:ascii="黑体" w:hAnsi="黑体" w:eastAsia="黑体"/>
          <w:color w:val="000000"/>
          <w:sz w:val="48"/>
          <w:szCs w:val="48"/>
          <w:lang w:val="en-US" w:eastAsia="zh-CN"/>
        </w:rPr>
        <w:t xml:space="preserve">  </w:t>
      </w:r>
      <w:r>
        <w:rPr>
          <w:rFonts w:hint="eastAsia" w:ascii="黑体" w:hAnsi="黑体" w:eastAsia="黑体"/>
          <w:color w:val="000000"/>
          <w:sz w:val="48"/>
          <w:szCs w:val="48"/>
        </w:rPr>
        <w:t>录</w:t>
      </w:r>
    </w:p>
    <w:p>
      <w:pPr>
        <w:keepNext w:val="0"/>
        <w:keepLines w:val="0"/>
        <w:pageBreakBefore w:val="0"/>
        <w:widowControl/>
        <w:kinsoku/>
        <w:wordWrap/>
        <w:overflowPunct/>
        <w:topLinePunct w:val="0"/>
        <w:autoSpaceDE/>
        <w:autoSpaceDN/>
        <w:bidi w:val="0"/>
        <w:adjustRightInd w:val="0"/>
        <w:snapToGrid w:val="0"/>
        <w:spacing w:line="560" w:lineRule="exact"/>
        <w:ind w:left="0" w:leftChars="0"/>
        <w:jc w:val="center"/>
        <w:textAlignment w:val="auto"/>
        <w:rPr>
          <w:rFonts w:hint="eastAsia" w:ascii="仿宋_GB2312" w:hAnsi="仿宋_GB2312" w:eastAsia="仿宋_GB2312" w:cs="仿宋_GB2312"/>
          <w:sz w:val="32"/>
          <w:szCs w:val="32"/>
        </w:rPr>
      </w:pPr>
    </w:p>
    <w:p>
      <w:pPr>
        <w:pStyle w:val="10"/>
        <w:keepNext w:val="0"/>
        <w:keepLines w:val="0"/>
        <w:pageBreakBefore w:val="0"/>
        <w:kinsoku/>
        <w:wordWrap/>
        <w:overflowPunct/>
        <w:topLinePunct w:val="0"/>
        <w:autoSpaceDE/>
        <w:autoSpaceDN/>
        <w:bidi w:val="0"/>
        <w:adjustRightInd w:val="0"/>
        <w:snapToGrid w:val="0"/>
        <w:spacing w:before="0"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公开时间：20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hint="eastAsia" w:ascii="仿宋_GB2312" w:hAnsi="仿宋_GB2312" w:eastAsia="仿宋_GB2312" w:cs="仿宋_GB2312"/>
          <w:sz w:val="32"/>
          <w:szCs w:val="32"/>
        </w:rPr>
      </w:pPr>
    </w:p>
    <w:p>
      <w:pPr>
        <w:pStyle w:val="10"/>
        <w:keepNext w:val="0"/>
        <w:keepLines w:val="0"/>
        <w:pageBreakBefore w:val="0"/>
        <w:kinsoku/>
        <w:wordWrap/>
        <w:overflowPunct/>
        <w:topLinePunct w:val="0"/>
        <w:autoSpaceDE/>
        <w:autoSpaceDN/>
        <w:bidi w:val="0"/>
        <w:adjustRightInd w:val="0"/>
        <w:snapToGrid w:val="0"/>
        <w:spacing w:before="0" w:line="560" w:lineRule="exact"/>
        <w:ind w:left="0" w:leftChars="0"/>
        <w:jc w:val="left"/>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rPr>
        <w:t>第一部分 部</w:t>
      </w:r>
      <w:r>
        <w:rPr>
          <w:rFonts w:hint="eastAsia" w:ascii="黑体" w:hAnsi="黑体" w:eastAsia="黑体" w:cs="黑体"/>
          <w:sz w:val="32"/>
          <w:szCs w:val="32"/>
          <w:lang w:val="en-US" w:eastAsia="zh-CN"/>
        </w:rPr>
        <w:t>门概况.....................................4</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一、基本职能及主要工作</w:t>
      </w:r>
      <w:r>
        <w:rPr>
          <w:rFonts w:hint="eastAsia" w:ascii="仿宋_GB2312" w:hAnsi="仿宋_GB2312" w:eastAsia="仿宋_GB2312" w:cs="仿宋_GB2312"/>
          <w:sz w:val="32"/>
          <w:szCs w:val="32"/>
          <w:lang w:val="en-US" w:eastAsia="zh-CN"/>
        </w:rPr>
        <w:t>............................4</w:t>
      </w:r>
    </w:p>
    <w:p>
      <w:pPr>
        <w:pStyle w:val="11"/>
        <w:keepNext w:val="0"/>
        <w:keepLines w:val="0"/>
        <w:pageBreakBefore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二、</w:t>
      </w:r>
      <w:r>
        <w:rPr>
          <w:rFonts w:hint="eastAsia" w:ascii="仿宋_GB2312" w:hAnsi="仿宋_GB2312" w:eastAsia="仿宋_GB2312" w:cs="仿宋_GB2312"/>
          <w:sz w:val="32"/>
          <w:szCs w:val="32"/>
        </w:rPr>
        <w:t>机构设置</w:t>
      </w:r>
      <w:r>
        <w:rPr>
          <w:rFonts w:hint="eastAsia" w:ascii="仿宋_GB2312" w:hAnsi="仿宋_GB2312" w:eastAsia="仿宋_GB2312" w:cs="仿宋_GB2312"/>
          <w:sz w:val="32"/>
          <w:szCs w:val="32"/>
          <w:lang w:val="en-US" w:eastAsia="zh-CN"/>
        </w:rPr>
        <w:t>......................................9</w:t>
      </w:r>
    </w:p>
    <w:p>
      <w:pPr>
        <w:pStyle w:val="10"/>
        <w:keepNext w:val="0"/>
        <w:keepLines w:val="0"/>
        <w:pageBreakBefore w:val="0"/>
        <w:kinsoku/>
        <w:wordWrap/>
        <w:overflowPunct/>
        <w:topLinePunct w:val="0"/>
        <w:autoSpaceDE/>
        <w:autoSpaceDN/>
        <w:bidi w:val="0"/>
        <w:adjustRightInd w:val="0"/>
        <w:snapToGrid w:val="0"/>
        <w:spacing w:before="0" w:line="560" w:lineRule="exact"/>
        <w:ind w:left="0" w:leftChars="0"/>
        <w:jc w:val="left"/>
        <w:textAlignment w:val="auto"/>
        <w:rPr>
          <w:rFonts w:hint="default" w:ascii="仿宋_GB2312" w:hAnsi="仿宋_GB2312" w:eastAsia="仿宋_GB2312" w:cs="仿宋_GB2312"/>
          <w:sz w:val="32"/>
          <w:szCs w:val="32"/>
          <w:lang w:val="en-US"/>
        </w:rPr>
      </w:pPr>
      <w:r>
        <w:rPr>
          <w:rFonts w:hint="eastAsia" w:ascii="黑体" w:hAnsi="黑体" w:eastAsia="黑体" w:cs="黑体"/>
          <w:sz w:val="32"/>
          <w:szCs w:val="32"/>
        </w:rPr>
        <w:t>第二部分</w:t>
      </w:r>
      <w:r>
        <w:rPr>
          <w:rFonts w:hint="eastAsia" w:ascii="黑体" w:hAnsi="黑体" w:eastAsia="黑体" w:cs="黑体"/>
          <w:sz w:val="32"/>
          <w:szCs w:val="32"/>
          <w:lang w:val="en-US" w:eastAsia="zh-CN"/>
        </w:rPr>
        <w:t xml:space="preserve"> 2020年</w:t>
      </w:r>
      <w:r>
        <w:rPr>
          <w:rFonts w:hint="eastAsia" w:ascii="黑体" w:hAnsi="黑体" w:eastAsia="黑体" w:cs="黑体"/>
          <w:sz w:val="32"/>
          <w:szCs w:val="32"/>
        </w:rPr>
        <w:t>度部门决算情</w:t>
      </w:r>
      <w:r>
        <w:rPr>
          <w:rFonts w:hint="eastAsia" w:ascii="黑体" w:hAnsi="黑体" w:eastAsia="黑体" w:cs="黑体"/>
          <w:sz w:val="32"/>
          <w:szCs w:val="32"/>
          <w:lang w:val="en-US" w:eastAsia="zh-CN"/>
        </w:rPr>
        <w:t>况说明....................10</w:t>
      </w:r>
    </w:p>
    <w:p>
      <w:pPr>
        <w:pStyle w:val="11"/>
        <w:keepNext w:val="0"/>
        <w:keepLines w:val="0"/>
        <w:pageBreakBefore w:val="0"/>
        <w:kinsoku/>
        <w:wordWrap/>
        <w:overflowPunct/>
        <w:topLinePunct w:val="0"/>
        <w:autoSpaceDE/>
        <w:autoSpaceDN/>
        <w:bidi w:val="0"/>
        <w:adjustRightInd w:val="0"/>
        <w:snapToGrid w:val="0"/>
        <w:spacing w:line="560" w:lineRule="exact"/>
        <w:ind w:left="638" w:leftChars="304" w:firstLine="0" w:firstLineChars="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一、收入支出决算总体情况说明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二、收入决算情况说明</w:t>
      </w:r>
      <w:r>
        <w:rPr>
          <w:rFonts w:hint="eastAsia" w:ascii="仿宋_GB2312" w:hAnsi="仿宋_GB2312" w:eastAsia="仿宋_GB2312" w:cs="仿宋_GB2312"/>
          <w:sz w:val="32"/>
          <w:szCs w:val="32"/>
          <w:lang w:val="en-US" w:eastAsia="zh-CN"/>
        </w:rPr>
        <w:t>..............................10</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三、支出决算情况说明</w:t>
      </w:r>
      <w:r>
        <w:rPr>
          <w:rFonts w:hint="eastAsia" w:ascii="仿宋_GB2312" w:hAnsi="仿宋_GB2312" w:eastAsia="仿宋_GB2312" w:cs="仿宋_GB2312"/>
          <w:sz w:val="32"/>
          <w:szCs w:val="32"/>
          <w:lang w:val="en-US" w:eastAsia="zh-CN"/>
        </w:rPr>
        <w:t>..............................11</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四、财政拨款收入支出决算总体情况说明</w:t>
      </w:r>
      <w:r>
        <w:rPr>
          <w:rFonts w:hint="eastAsia" w:ascii="仿宋_GB2312" w:hAnsi="仿宋_GB2312" w:eastAsia="仿宋_GB2312" w:cs="仿宋_GB2312"/>
          <w:sz w:val="32"/>
          <w:szCs w:val="32"/>
          <w:lang w:val="en-US" w:eastAsia="zh-CN"/>
        </w:rPr>
        <w:t>..............12</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五、一般公共预算财政拨款支出决算情况说明</w:t>
      </w:r>
      <w:r>
        <w:rPr>
          <w:rFonts w:hint="eastAsia" w:ascii="仿宋_GB2312" w:hAnsi="仿宋_GB2312" w:eastAsia="仿宋_GB2312" w:cs="仿宋_GB2312"/>
          <w:sz w:val="32"/>
          <w:szCs w:val="32"/>
          <w:lang w:val="en-US" w:eastAsia="zh-CN"/>
        </w:rPr>
        <w:t>..........12</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六、一般公共预算财政拨款基本支出决算情况说明</w:t>
      </w:r>
      <w:r>
        <w:rPr>
          <w:rFonts w:hint="eastAsia" w:ascii="仿宋_GB2312" w:hAnsi="仿宋_GB2312" w:eastAsia="仿宋_GB2312" w:cs="仿宋_GB2312"/>
          <w:sz w:val="32"/>
          <w:szCs w:val="32"/>
          <w:lang w:val="en-US" w:eastAsia="zh-CN"/>
        </w:rPr>
        <w:t>......17</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七、“三公”经费财政拨款支出决算情况说明</w:t>
      </w:r>
      <w:r>
        <w:rPr>
          <w:rFonts w:hint="eastAsia" w:ascii="仿宋_GB2312" w:hAnsi="仿宋_GB2312" w:eastAsia="仿宋_GB2312" w:cs="仿宋_GB2312"/>
          <w:sz w:val="32"/>
          <w:szCs w:val="32"/>
          <w:lang w:val="en-US" w:eastAsia="zh-CN"/>
        </w:rPr>
        <w:t>..........18</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八、政府性基金预算支出决算情况说明</w:t>
      </w:r>
      <w:r>
        <w:rPr>
          <w:rFonts w:hint="eastAsia" w:ascii="仿宋_GB2312" w:hAnsi="仿宋_GB2312" w:eastAsia="仿宋_GB2312" w:cs="仿宋_GB2312"/>
          <w:sz w:val="32"/>
          <w:szCs w:val="32"/>
          <w:lang w:val="en-US" w:eastAsia="zh-CN"/>
        </w:rPr>
        <w:t>................20</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九、国有资本经营预算支出决算情况说明</w:t>
      </w:r>
      <w:r>
        <w:rPr>
          <w:rFonts w:hint="eastAsia" w:ascii="仿宋_GB2312" w:hAnsi="仿宋_GB2312" w:eastAsia="仿宋_GB2312" w:cs="仿宋_GB2312"/>
          <w:sz w:val="32"/>
          <w:szCs w:val="32"/>
          <w:lang w:val="en-US" w:eastAsia="zh-CN"/>
        </w:rPr>
        <w:t>..............20</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十、其他重</w:t>
      </w:r>
      <w:r>
        <w:rPr>
          <w:rFonts w:hint="eastAsia" w:ascii="仿宋_GB2312" w:hAnsi="仿宋_GB2312" w:eastAsia="仿宋_GB2312" w:cs="仿宋_GB2312"/>
          <w:sz w:val="32"/>
          <w:szCs w:val="32"/>
        </w:rPr>
        <w:t>要事项的情况说明</w:t>
      </w:r>
      <w:r>
        <w:rPr>
          <w:rFonts w:hint="eastAsia" w:ascii="仿宋_GB2312" w:hAnsi="仿宋_GB2312" w:eastAsia="仿宋_GB2312" w:cs="仿宋_GB2312"/>
          <w:sz w:val="32"/>
          <w:szCs w:val="32"/>
          <w:lang w:val="en-US" w:eastAsia="zh-CN"/>
        </w:rPr>
        <w:t>........................20</w:t>
      </w:r>
    </w:p>
    <w:p>
      <w:pPr>
        <w:pStyle w:val="10"/>
        <w:keepNext w:val="0"/>
        <w:keepLines w:val="0"/>
        <w:pageBreakBefore w:val="0"/>
        <w:kinsoku/>
        <w:wordWrap/>
        <w:overflowPunct/>
        <w:topLinePunct w:val="0"/>
        <w:autoSpaceDE/>
        <w:autoSpaceDN/>
        <w:bidi w:val="0"/>
        <w:adjustRightInd w:val="0"/>
        <w:snapToGrid w:val="0"/>
        <w:spacing w:before="0" w:line="560" w:lineRule="exact"/>
        <w:ind w:left="0" w:left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第三部分 名词解释</w:t>
      </w:r>
      <w:r>
        <w:rPr>
          <w:rFonts w:hint="eastAsia" w:ascii="黑体" w:hAnsi="黑体" w:eastAsia="黑体" w:cs="黑体"/>
          <w:sz w:val="32"/>
          <w:szCs w:val="32"/>
          <w:lang w:val="en-US" w:eastAsia="zh-CN"/>
        </w:rPr>
        <w:t>....................................28</w:t>
      </w:r>
    </w:p>
    <w:p>
      <w:pPr>
        <w:pStyle w:val="10"/>
        <w:keepNext w:val="0"/>
        <w:keepLines w:val="0"/>
        <w:pageBreakBefore w:val="0"/>
        <w:kinsoku/>
        <w:wordWrap/>
        <w:overflowPunct/>
        <w:topLinePunct w:val="0"/>
        <w:autoSpaceDE/>
        <w:autoSpaceDN/>
        <w:bidi w:val="0"/>
        <w:adjustRightInd w:val="0"/>
        <w:snapToGrid w:val="0"/>
        <w:spacing w:before="0" w:line="560" w:lineRule="exact"/>
        <w:ind w:left="0" w:leftChars="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rPr>
        <w:t>第四部分 附件</w:t>
      </w:r>
      <w:r>
        <w:rPr>
          <w:rFonts w:hint="eastAsia" w:ascii="黑体" w:hAnsi="黑体" w:eastAsia="黑体" w:cs="黑体"/>
          <w:sz w:val="32"/>
          <w:szCs w:val="32"/>
          <w:lang w:val="en-US" w:eastAsia="zh-CN"/>
        </w:rPr>
        <w:t>........................................33</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............................................33</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附件2</w:t>
      </w:r>
      <w:r>
        <w:rPr>
          <w:rFonts w:hint="eastAsia" w:ascii="仿宋_GB2312" w:hAnsi="仿宋_GB2312" w:eastAsia="仿宋_GB2312" w:cs="仿宋_GB2312"/>
          <w:sz w:val="32"/>
          <w:szCs w:val="32"/>
          <w:lang w:val="en-US" w:eastAsia="zh-CN"/>
        </w:rPr>
        <w:t>............................................44</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3............................................60</w:t>
      </w:r>
    </w:p>
    <w:p>
      <w:pPr>
        <w:pStyle w:val="10"/>
        <w:keepNext w:val="0"/>
        <w:keepLines w:val="0"/>
        <w:pageBreakBefore w:val="0"/>
        <w:kinsoku/>
        <w:wordWrap/>
        <w:overflowPunct/>
        <w:topLinePunct w:val="0"/>
        <w:autoSpaceDE/>
        <w:autoSpaceDN/>
        <w:bidi w:val="0"/>
        <w:adjustRightInd w:val="0"/>
        <w:snapToGrid w:val="0"/>
        <w:spacing w:before="0" w:line="560" w:lineRule="exact"/>
        <w:ind w:left="0" w:leftChars="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rPr>
        <w:t>第五部分 附表</w:t>
      </w:r>
      <w:r>
        <w:rPr>
          <w:rFonts w:hint="eastAsia" w:ascii="黑体" w:hAnsi="黑体" w:eastAsia="黑体" w:cs="黑体"/>
          <w:sz w:val="32"/>
          <w:szCs w:val="32"/>
          <w:lang w:val="en-US" w:eastAsia="zh-CN"/>
        </w:rPr>
        <w:t>........................................83</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一、收入支出决算总表</w:t>
      </w:r>
    </w:p>
    <w:p>
      <w:pPr>
        <w:pStyle w:val="11"/>
        <w:keepNext w:val="0"/>
        <w:keepLines w:val="0"/>
        <w:pageBreakBefore w:val="0"/>
        <w:kinsoku/>
        <w:wordWrap/>
        <w:overflowPunct/>
        <w:topLinePunct w:val="0"/>
        <w:autoSpaceDE/>
        <w:autoSpaceDN/>
        <w:bidi w:val="0"/>
        <w:adjustRightInd w:val="0"/>
        <w:snapToGrid w:val="0"/>
        <w:spacing w:line="560" w:lineRule="exact"/>
        <w:ind w:left="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二</w:t>
      </w:r>
      <w:r>
        <w:rPr>
          <w:rFonts w:hint="eastAsia" w:ascii="仿宋_GB2312" w:hAnsi="仿宋_GB2312" w:eastAsia="仿宋_GB2312" w:cs="仿宋_GB2312"/>
          <w:sz w:val="32"/>
          <w:szCs w:val="32"/>
        </w:rPr>
        <w:t>、收入决算表</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五、财政拨款支出决算明细表</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六、一般公共预算财政拨款支出决算表</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七、一般公共预算财政拨款支出决算明细表</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八、一般公共预算财政拨款基本支出决算表</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九、一般公共预算财政拨款项目支出决算表</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十、一般公共预算财政拨款“三公”经费支出决算表</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十一、政府性基金预算财政拨款收入支出决算表</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十二、政府性基金预算财政拨款“三公”经费支出决算表</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十三、国有资本经营预算</w:t>
      </w:r>
      <w:r>
        <w:rPr>
          <w:rFonts w:hint="eastAsia" w:ascii="仿宋_GB2312" w:hAnsi="仿宋_GB2312" w:eastAsia="仿宋_GB2312" w:cs="仿宋_GB2312"/>
          <w:sz w:val="32"/>
          <w:szCs w:val="32"/>
          <w:lang w:eastAsia="zh-CN"/>
        </w:rPr>
        <w:t>财政拨款收入</w:t>
      </w:r>
      <w:r>
        <w:rPr>
          <w:rFonts w:hint="eastAsia" w:ascii="仿宋_GB2312" w:hAnsi="仿宋_GB2312" w:eastAsia="仿宋_GB2312" w:cs="仿宋_GB2312"/>
          <w:sz w:val="32"/>
          <w:szCs w:val="32"/>
        </w:rPr>
        <w:t>支出决算表</w:t>
      </w:r>
    </w:p>
    <w:p>
      <w:pPr>
        <w:pStyle w:val="11"/>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十四、国有资本经营预算财政拨款支出决算表</w:t>
      </w: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3"/>
        <w:pageBreakBefore w:val="0"/>
        <w:kinsoku/>
        <w:wordWrap/>
        <w:overflowPunct/>
        <w:topLinePunct w:val="0"/>
        <w:bidi w:val="0"/>
        <w:spacing w:line="580" w:lineRule="exact"/>
        <w:jc w:val="center"/>
        <w:textAlignment w:val="auto"/>
        <w:rPr>
          <w:rStyle w:val="27"/>
          <w:rFonts w:ascii="黑体" w:hAnsi="黑体" w:eastAsia="黑体"/>
          <w:b/>
          <w:bCs w:val="0"/>
        </w:rPr>
      </w:pPr>
      <w:bookmarkStart w:id="12" w:name="_Toc15396599"/>
      <w:bookmarkStart w:id="13" w:name="_Toc15377196"/>
      <w:r>
        <w:rPr>
          <w:rFonts w:hint="eastAsia" w:ascii="黑体" w:hAnsi="黑体" w:eastAsia="黑体"/>
          <w:b w:val="0"/>
        </w:rPr>
        <w:t xml:space="preserve">第一部分 </w:t>
      </w:r>
      <w:r>
        <w:rPr>
          <w:rStyle w:val="27"/>
          <w:rFonts w:hint="eastAsia" w:ascii="黑体" w:hAnsi="黑体" w:eastAsia="黑体"/>
          <w:b w:val="0"/>
          <w:bCs w:val="0"/>
        </w:rPr>
        <w:t>部门概况</w:t>
      </w:r>
      <w:bookmarkEnd w:id="12"/>
      <w:bookmarkEnd w:id="13"/>
    </w:p>
    <w:p>
      <w:pPr>
        <w:pStyle w:val="4"/>
        <w:pageBreakBefore w:val="0"/>
        <w:kinsoku/>
        <w:wordWrap/>
        <w:overflowPunct/>
        <w:topLinePunct w:val="0"/>
        <w:autoSpaceDE/>
        <w:autoSpaceDN/>
        <w:bidi w:val="0"/>
        <w:adjustRightInd w:val="0"/>
        <w:snapToGrid w:val="0"/>
        <w:spacing w:before="0" w:after="0" w:line="580" w:lineRule="exact"/>
        <w:ind w:firstLine="640" w:firstLineChars="200"/>
        <w:textAlignment w:val="auto"/>
        <w:rPr>
          <w:rStyle w:val="28"/>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8"/>
          <w:rFonts w:hint="eastAsia" w:ascii="黑体" w:hAnsi="黑体" w:eastAsia="黑体"/>
          <w:b w:val="0"/>
          <w:bCs w:val="0"/>
        </w:rPr>
        <w:t>本职能及主要工作</w:t>
      </w:r>
      <w:bookmarkEnd w:id="14"/>
      <w:bookmarkEnd w:id="15"/>
    </w:p>
    <w:p>
      <w:pPr>
        <w:pStyle w:val="2"/>
        <w:pageBreakBefore w:val="0"/>
        <w:kinsoku/>
        <w:wordWrap/>
        <w:overflowPunct/>
        <w:topLinePunct w:val="0"/>
        <w:autoSpaceDE/>
        <w:autoSpaceDN/>
        <w:bidi w:val="0"/>
        <w:adjustRightInd w:val="0"/>
        <w:snapToGrid w:val="0"/>
        <w:spacing w:beforeLines="0" w:line="560" w:lineRule="exact"/>
        <w:ind w:firstLine="640" w:firstLineChars="200"/>
        <w:textAlignment w:val="auto"/>
        <w:outlineLvl w:val="2"/>
        <w:rPr>
          <w:rFonts w:hint="eastAsia" w:ascii="仿宋" w:hAnsi="仿宋" w:eastAsia="仿宋" w:cs="Times New Roman"/>
          <w:color w:val="000000"/>
          <w:kern w:val="2"/>
          <w:sz w:val="32"/>
          <w:szCs w:val="32"/>
          <w:lang w:val="en-US" w:eastAsia="zh-CN" w:bidi="ar-SA"/>
        </w:rPr>
      </w:pPr>
      <w:bookmarkStart w:id="16" w:name="_Toc15378445"/>
      <w:bookmarkStart w:id="17" w:name="_Toc15377198"/>
      <w:r>
        <w:rPr>
          <w:rFonts w:hint="eastAsia" w:ascii="方正楷体_GBK" w:hAnsi="方正楷体_GBK" w:eastAsia="方正楷体_GBK" w:cs="方正楷体_GBK"/>
          <w:color w:val="000000"/>
          <w:kern w:val="2"/>
          <w:sz w:val="32"/>
          <w:szCs w:val="32"/>
          <w:lang w:val="en-US" w:eastAsia="zh-CN" w:bidi="ar-SA"/>
        </w:rPr>
        <w:t>（一）主要职能。</w:t>
      </w:r>
      <w:bookmarkEnd w:id="16"/>
      <w:bookmarkEnd w:id="17"/>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1.宣传贯彻党中央、国务院和省委、省政府的方针政策。</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2.研究制定全省供销合作社发展规划；指导全省供销合作社的改革和发展，加快体制、机制创新，探索社会主义市场经济条件下合作经济的多种实现形式。</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3.在政府授权下，承担对重要农业生产资料经营、管理工作；参与组织、储备、调运有关救灾物资的工作。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4.协调同政府有关部门、社会组织的关系，研究供销合作社运行中的重大问题；了解、反映供销社系统和农民群众的意见和要求，维护农民合作经济组织的合法权益。</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5.组织全省供销社系统参与和推进农业产业化经营，组织发展专业合作社、消费合作社等中介服务组织，加强商品供求、市场、信息服务体系建设。</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6.围绕建立和完善农业社会化服务体系，做好为农业、农村、农民服务工作，促进农村经济发展和农民收入水平的提高。</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7.监督和管理社有资产，确保社有资产保值增值，行使本级社有资产出资人代表职能，并按出资额依法享有资产受益、重大决策和选择经营管理者等权利。</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8.参与国际合作，密切经济、技术交流活动。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eastAsia" w:ascii="仿宋" w:hAnsi="仿宋" w:eastAsia="仿宋" w:cs="Times New Roman"/>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9.承担省政府交办的其他事项。</w:t>
      </w:r>
    </w:p>
    <w:p>
      <w:pPr>
        <w:pStyle w:val="2"/>
        <w:pageBreakBefore w:val="0"/>
        <w:kinsoku/>
        <w:wordWrap/>
        <w:overflowPunct/>
        <w:topLinePunct w:val="0"/>
        <w:autoSpaceDE/>
        <w:autoSpaceDN/>
        <w:bidi w:val="0"/>
        <w:adjustRightInd w:val="0"/>
        <w:snapToGrid w:val="0"/>
        <w:spacing w:beforeLines="0" w:line="560" w:lineRule="exact"/>
        <w:ind w:firstLine="640" w:firstLineChars="200"/>
        <w:textAlignment w:val="auto"/>
        <w:outlineLvl w:val="2"/>
        <w:rPr>
          <w:rFonts w:hint="eastAsia" w:ascii="方正楷体_GBK" w:hAnsi="方正楷体_GBK" w:eastAsia="方正楷体_GBK" w:cs="方正楷体_GBK"/>
          <w:color w:val="000000"/>
          <w:kern w:val="2"/>
          <w:sz w:val="32"/>
          <w:szCs w:val="32"/>
          <w:lang w:val="en-US" w:eastAsia="zh-CN" w:bidi="ar-SA"/>
        </w:rPr>
      </w:pPr>
      <w:bookmarkStart w:id="18" w:name="_Toc15377199"/>
      <w:bookmarkStart w:id="19" w:name="_Toc15378446"/>
      <w:r>
        <w:rPr>
          <w:rFonts w:hint="eastAsia" w:ascii="方正楷体_GBK" w:hAnsi="方正楷体_GBK" w:eastAsia="方正楷体_GBK" w:cs="方正楷体_GBK"/>
          <w:color w:val="000000"/>
          <w:kern w:val="2"/>
          <w:sz w:val="32"/>
          <w:szCs w:val="32"/>
          <w:lang w:val="en-US" w:eastAsia="zh-CN" w:bidi="ar-SA"/>
        </w:rPr>
        <w:t>（二）2020年重点工作完成情况。</w:t>
      </w:r>
      <w:bookmarkEnd w:id="18"/>
      <w:bookmarkEnd w:id="19"/>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1.创新为农服务机制。一是加强指导督导。指导各地对标对表中发〔2015〕11号和川委发〔2016〕22号明确的目标任务，开展自查自评，全面梳理评估改革推进情况，查找短板和薄弱环节；建立改革任务台账，列出任务清单、措施清单和责任清单，逐项督促落实，确保全面完成改革目标任务。协调省委全面深化改革领导小组办公室开展全省供销合作社综合改革督查，做好迎接中央农办的专项督导工作，确保全省供销合作社综合改革顺利通过检查验收。二是推广试点经验。督促各地建立健全双线运行体系，不断推进组织体系和服务机制创新，在完善联合社治理机制、建立供销合作发展基金、推进社有企业改革转型等重点改革任务上扩大改革成效。三是完善治理架构。以联合社机构和“三会”制度建设为重点，加快完善县以上供销社机构设置和职能配置，健全社员代表大会、理事会、监事会，筹备召开省供销社第七次代表大会。力争到2020年底，设立供销社机构的市、县全面建立联合社“三会”制度，实现联合社机构和工作“双覆盖”。修订完善社员代表大会、理事会、监事会职能职责。</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健全为农服务网络。一是夯实基层组织基础。实施“供销合作社培育壮大工程”，着力提升基层组织经营服务实力。指导各地供销社抓住乡镇行政区划调整改革机遇，推动在乡镇“三定”方案中明确供销社工作职能，调配加强供销社工作力量，积极承接运营乡镇撤并后的闲置资产和政府购买公共服务。加大农村综合服务社新建提升、提档升级力度，加强空白、薄弱地区农村综合服务社建设。二是推进开门开放办社。按照全国总社指导意见，制定贯彻落实措施，规范开门开放办社。强化与农民的联合与合作，推动基层社逐步办成以农民社员为主体的合作社。三是推进“三社”融合试点。按照省农业和农村体制改革专项小组试点实施方案，指导5个试点县（区）按时完成试点任务。四是深化新型“农合联”试点。积极探索生产、供销、信用“三位一体”综合合作。协调省委农村工作领导小组出台深化“农合联”建设试点的实施方案，在有条件的市、县深化试点。规范建立农合联组织体系，在市、县两级组建“农合联”，鼓励县以下发展产业型“农合联”，推动涉农服务资源整合，发挥综合服务平台作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提升为农服务水平。一是实施农业社会化服务惠民工程。围绕现代农业“10+3”产业体系建设开展全产业链条农业社会化服务惠农工程。创新为农服务方式，大力推进农资连锁经营，发挥庄稼医院科技服务功能作用，争取实施更多农业社会化服务示范创建项目，推动由流通服务向全产业链条服务转变。二是发展农村会计综合服务。制定供销社会计综合服务建设指导意见，指导内江、宜宾、乐山等地拓展农产品居间交易、融资对接等综合性服务，支持省供销云科技有限责任公司发挥好全省会计服务体系建设的牵引工作，增强技术服务和业务引领作用，推动农村会计综合服务标准化建设、规范化服务、信息化支撑、一体化运营、品牌化发展，为农民专业合作社、家庭农场、农村小微企业等农村各类新型经营主体提供财务管理、政策咨询、信息统计等综合服务。三是稳步推进供销金融服务。指导现有资金互助、信用合作组织规范发展，加强与供销主营业务的紧密联结。探索供应链金融试点，示范推出适合供销产业链的融资产品。做实供销合作发展基金。四是补上冷链物流短板。抢抓国家启动“农产品仓储保鲜冷链物流设施建设工程”的政策机遇，认真落实全省新农村现代流通服务网络工程（2020—2025年）建设规划，加快构建便捷、高效、稳定的农产品乡村物流网络体系。搭建四川省冷链物流信息平台，建立覆盖农产品生产、加工、运输、储存、销售全程的冷链物流体系。五是构建农产品“双向”流通体系。以社有企业为龙头引领带动，以解决农产品销售难为切入点，加快发展全省系统农村电商业务。六是参与“美丽四川、宜居乡村”建设。发挥供销社系统再生资源回收利用体系优势，介入农村环境整治，积极探索农村生活垃圾分类回收和处理，推进农村生活垃圾减量化和资源化。深入推进“绿色农资”行动，推动农资销售与技术服务有机结合，开展化肥和农药使用量“双减”行动，推进农业面源污染治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4.优化供销扶贫模式。一是全面落实定点脱贫责任。发挥系统优势助力精准脱贫，全面履行好定点帮扶职责。坚持尽锐出战，整合优势资源，加大帮扶力度，突出产业扶贫和智力帮扶，助力帮扶地区形成稳定脱贫长效机制，确保如期脱贫，真正脱贫。二是深入推进产业扶贫。立足行业特点，进一步推广“供销社+小农户+贫困户”的扶贫模式，帮助小农户发展特色种、养殖业和其他新产业新业态，推进产业扶贫，帮助贫困农户增收致富。继续安排3000万元资金，支持15个深度贫困地区供销社建设优质农产品销售流通体系和农业社会化服务体系。三是扎实推进消费扶贫。加快构建贫困地区优质农产品供销体系，依托省社企业做好“四川扶贫”集体商标的审核和运维管理。发挥省社企业龙头引领作用，以贫困地区农产品“以购代捐”为切入点，对接“扶贫832平台”，用好“四川消费扶贫网”平台，组织特色优质扶贫产品上线销售，组织贫困地区优质特色农副产品参加展示推介活动，推进贫困地区特色优质农产品更多地进社区、进机关、进学校、进企业、进超市、进食堂，推动消费扶贫。四是持续推进东西部扶贫协作。用好广东“四川扶贫”公益标识产品展销平台，加强与浙江供销社系统合作，推进四川扶贫产品外销。</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5.强化为农服务保障。一是强化拓展主题教育。组织系统党员干部认真读原著、学原文、悟原理，深入学习贯彻习近平总书记关于供销合作社工作的重要指示批示精神，深学笃信笃行习近平新时代中国特色社会主义思想，进一步增强“四个意识”、坚定“四个自信”、做到“两个维护”。持续抓好主题教育检视问题整改落实，建立健全长效机制。二是强化思想政治建设。加强政治理论学习，坚持从严治社，强化党风廉政教育，营造风清气正的政治生态和改革发展环境。三是强化对外合作交流。持续推进战略合作协议签订和落实，提升战略合作层次和水平。做好对外交流活动的备案、统计工作。加强与国内外组织和行业部门的沟通协调，推进供销社系统经贸交流合作。四是强化财务审计管理。建立完善预算管理制度，抓好预算执行和专项资金管理，建立健全财政资金项目管理制度。指导推动系统社有资产清查核资工作，建立完善供销社资产台账管理制度，加强资产运营管理。按照审计厅项目专项审计整改要求，认真做好审计整改工作，及时完善制度、强化内控、堵塞漏洞。五是强化绩效评价管理。落实省级社有企业负责人绩效薪酬管理及经营业绩考核办法、省社直属学校工作绩效考核办法，做好省级社有企业、省社直属学校、省社机关工作绩效考核工作及省政府部门绩效管理考评工作。做好对市（州）综合业绩管理工作，指导市（州）联合社完善对县级联合社的综合业绩管理机制。六是强化安全应急管理。严格落实“党政同责、一岗双责”，全面落实安全生产责任制和各项规章制度。七是强化依法行政施策，坚持依法化解历史遗留问题。</w:t>
      </w:r>
    </w:p>
    <w:p>
      <w:pPr>
        <w:pStyle w:val="4"/>
        <w:pageBreakBefore w:val="0"/>
        <w:kinsoku/>
        <w:wordWrap/>
        <w:overflowPunct/>
        <w:topLinePunct w:val="0"/>
        <w:autoSpaceDE/>
        <w:autoSpaceDN/>
        <w:bidi w:val="0"/>
        <w:adjustRightInd w:val="0"/>
        <w:snapToGrid w:val="0"/>
        <w:spacing w:before="0" w:after="0" w:line="560" w:lineRule="exact"/>
        <w:ind w:left="0" w:firstLine="640" w:firstLineChars="200"/>
        <w:textAlignment w:val="auto"/>
        <w:rPr>
          <w:rStyle w:val="28"/>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8"/>
          <w:rFonts w:hint="eastAsia" w:ascii="黑体" w:hAnsi="黑体" w:eastAsia="黑体"/>
          <w:b w:val="0"/>
          <w:bCs w:val="0"/>
        </w:rPr>
        <w:t>构设置</w:t>
      </w:r>
      <w:bookmarkEnd w:id="20"/>
      <w:bookmarkEnd w:id="21"/>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四川省供销社下属二级预算单位3个，其中：参照公务员法管理的事业单位1个，其他事业单位（公益二类事业单位）2个。</w:t>
      </w:r>
    </w:p>
    <w:p>
      <w:pPr>
        <w:pStyle w:val="2"/>
        <w:pageBreakBefore w:val="0"/>
        <w:kinsoku/>
        <w:wordWrap/>
        <w:overflowPunct/>
        <w:topLinePunct w:val="0"/>
        <w:autoSpaceDE/>
        <w:autoSpaceDN/>
        <w:bidi w:val="0"/>
        <w:adjustRightInd w:val="0"/>
        <w:snapToGrid w:val="0"/>
        <w:spacing w:beforeLines="0" w:line="560" w:lineRule="exact"/>
        <w:ind w:left="0" w:firstLine="672" w:firstLineChars="21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纳入四川省供销社2020年度部门决算编制范围的二级预算单位包括：</w:t>
      </w:r>
      <w:bookmarkStart w:id="22" w:name="_Toc15377201"/>
      <w:bookmarkStart w:id="23" w:name="_Toc15378448"/>
      <w:bookmarkStart w:id="24" w:name="_Toc15377432"/>
      <w:bookmarkStart w:id="25" w:name="_Toc15306275"/>
    </w:p>
    <w:p>
      <w:pPr>
        <w:pStyle w:val="2"/>
        <w:pageBreakBefore w:val="0"/>
        <w:numPr>
          <w:ilvl w:val="0"/>
          <w:numId w:val="0"/>
        </w:numPr>
        <w:kinsoku/>
        <w:wordWrap/>
        <w:overflowPunct/>
        <w:topLinePunct w:val="0"/>
        <w:autoSpaceDE/>
        <w:autoSpaceDN/>
        <w:bidi w:val="0"/>
        <w:adjustRightInd w:val="0"/>
        <w:snapToGrid w:val="0"/>
        <w:spacing w:beforeLines="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hAnsi="仿宋_GB2312" w:cs="仿宋_GB2312"/>
          <w:color w:val="000000"/>
          <w:kern w:val="2"/>
          <w:sz w:val="32"/>
          <w:szCs w:val="32"/>
          <w:lang w:val="en-US" w:eastAsia="zh-CN" w:bidi="ar-SA"/>
        </w:rPr>
        <w:t>1.</w:t>
      </w:r>
      <w:r>
        <w:rPr>
          <w:rFonts w:hint="eastAsia" w:ascii="仿宋_GB2312" w:hAnsi="仿宋_GB2312" w:eastAsia="仿宋_GB2312" w:cs="仿宋_GB2312"/>
          <w:color w:val="000000"/>
          <w:kern w:val="2"/>
          <w:sz w:val="32"/>
          <w:szCs w:val="32"/>
          <w:lang w:val="en-US" w:eastAsia="zh-CN" w:bidi="ar-SA"/>
        </w:rPr>
        <w:t>四川省供销社机关</w:t>
      </w:r>
      <w:bookmarkEnd w:id="22"/>
      <w:bookmarkEnd w:id="23"/>
      <w:bookmarkEnd w:id="24"/>
      <w:bookmarkEnd w:id="25"/>
      <w:bookmarkStart w:id="26" w:name="_Toc15378449"/>
      <w:bookmarkStart w:id="27" w:name="_Toc15377433"/>
      <w:bookmarkStart w:id="28" w:name="_Toc15377202"/>
      <w:bookmarkStart w:id="29" w:name="_Toc15306276"/>
    </w:p>
    <w:p>
      <w:pPr>
        <w:pStyle w:val="2"/>
        <w:pageBreakBefore w:val="0"/>
        <w:numPr>
          <w:ilvl w:val="0"/>
          <w:numId w:val="0"/>
        </w:numPr>
        <w:kinsoku/>
        <w:wordWrap/>
        <w:overflowPunct/>
        <w:topLinePunct w:val="0"/>
        <w:autoSpaceDE/>
        <w:autoSpaceDN/>
        <w:bidi w:val="0"/>
        <w:adjustRightInd w:val="0"/>
        <w:snapToGrid w:val="0"/>
        <w:spacing w:beforeLines="0"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hAnsi="仿宋_GB2312" w:cs="仿宋_GB2312"/>
          <w:color w:val="000000"/>
          <w:kern w:val="2"/>
          <w:sz w:val="32"/>
          <w:szCs w:val="32"/>
          <w:lang w:val="en-US" w:eastAsia="zh-CN" w:bidi="ar-SA"/>
        </w:rPr>
        <w:t>2.四</w:t>
      </w:r>
      <w:r>
        <w:rPr>
          <w:rFonts w:hint="eastAsia" w:ascii="仿宋_GB2312" w:hAnsi="仿宋_GB2312" w:eastAsia="仿宋_GB2312" w:cs="仿宋_GB2312"/>
          <w:color w:val="000000"/>
          <w:kern w:val="2"/>
          <w:sz w:val="32"/>
          <w:szCs w:val="32"/>
          <w:lang w:val="en-US" w:eastAsia="zh-CN" w:bidi="ar-SA"/>
        </w:rPr>
        <w:t>川省商贸学校</w:t>
      </w:r>
      <w:bookmarkEnd w:id="26"/>
      <w:bookmarkEnd w:id="27"/>
      <w:bookmarkEnd w:id="28"/>
      <w:bookmarkEnd w:id="29"/>
      <w:bookmarkStart w:id="30" w:name="_Toc15377434"/>
      <w:bookmarkStart w:id="31" w:name="_Toc15377203"/>
      <w:bookmarkStart w:id="32" w:name="_Toc15378450"/>
      <w:bookmarkStart w:id="33" w:name="_Toc15306277"/>
    </w:p>
    <w:p>
      <w:pPr>
        <w:pStyle w:val="2"/>
        <w:pageBreakBefore w:val="0"/>
        <w:numPr>
          <w:ilvl w:val="0"/>
          <w:numId w:val="0"/>
        </w:numPr>
        <w:kinsoku/>
        <w:wordWrap/>
        <w:overflowPunct/>
        <w:topLinePunct w:val="0"/>
        <w:autoSpaceDE/>
        <w:autoSpaceDN/>
        <w:bidi w:val="0"/>
        <w:adjustRightInd w:val="0"/>
        <w:snapToGrid w:val="0"/>
        <w:spacing w:beforeLines="0" w:line="560" w:lineRule="exact"/>
        <w:ind w:firstLine="640" w:firstLineChars="200"/>
        <w:textAlignment w:val="auto"/>
        <w:rPr>
          <w:rFonts w:hint="eastAsia" w:ascii="仿宋" w:hAnsi="仿宋" w:eastAsia="仿宋" w:cs="Times New Roman"/>
          <w:color w:val="000000"/>
          <w:kern w:val="2"/>
          <w:sz w:val="32"/>
          <w:szCs w:val="32"/>
          <w:lang w:val="en-US" w:eastAsia="zh-CN" w:bidi="ar-SA"/>
        </w:rPr>
      </w:pPr>
      <w:r>
        <w:rPr>
          <w:rFonts w:hint="eastAsia" w:hAnsi="仿宋_GB2312" w:cs="仿宋_GB2312"/>
          <w:color w:val="000000"/>
          <w:kern w:val="2"/>
          <w:sz w:val="32"/>
          <w:szCs w:val="32"/>
          <w:lang w:val="en-US" w:eastAsia="zh-CN" w:bidi="ar-SA"/>
        </w:rPr>
        <w:t>3.</w:t>
      </w:r>
      <w:r>
        <w:rPr>
          <w:rFonts w:hint="eastAsia" w:ascii="仿宋_GB2312" w:hAnsi="仿宋_GB2312" w:eastAsia="仿宋_GB2312" w:cs="仿宋_GB2312"/>
          <w:color w:val="000000"/>
          <w:kern w:val="2"/>
          <w:sz w:val="32"/>
          <w:szCs w:val="32"/>
          <w:lang w:val="en-US" w:eastAsia="zh-CN" w:bidi="ar-SA"/>
        </w:rPr>
        <w:t>四川省贸易学校</w:t>
      </w:r>
      <w:bookmarkEnd w:id="30"/>
      <w:bookmarkEnd w:id="31"/>
      <w:bookmarkEnd w:id="32"/>
      <w:bookmarkEnd w:id="33"/>
    </w:p>
    <w:p>
      <w:pPr>
        <w:pStyle w:val="3"/>
        <w:pageBreakBefore w:val="0"/>
        <w:widowControl w:val="0"/>
        <w:kinsoku/>
        <w:wordWrap/>
        <w:overflowPunct/>
        <w:topLinePunct w:val="0"/>
        <w:autoSpaceDE/>
        <w:autoSpaceDN/>
        <w:bidi w:val="0"/>
        <w:adjustRightInd w:val="0"/>
        <w:snapToGrid w:val="0"/>
        <w:spacing w:before="0" w:after="0" w:line="560" w:lineRule="exact"/>
        <w:ind w:left="0" w:right="0"/>
        <w:jc w:val="center"/>
        <w:textAlignment w:val="auto"/>
        <w:rPr>
          <w:rStyle w:val="27"/>
          <w:rFonts w:hint="eastAsia" w:ascii="黑体" w:hAnsi="黑体" w:eastAsia="黑体" w:cs="黑体"/>
          <w:b w:val="0"/>
          <w:bCs w:val="0"/>
          <w:lang w:val="en-US" w:eastAsia="zh-CN"/>
        </w:rPr>
      </w:pPr>
      <w:bookmarkStart w:id="34" w:name="_Toc15377204"/>
      <w:bookmarkStart w:id="35" w:name="_Toc15396602"/>
    </w:p>
    <w:p>
      <w:pPr>
        <w:rPr>
          <w:rFonts w:hint="eastAsia"/>
          <w:lang w:val="en-US" w:eastAsia="zh-CN"/>
        </w:rPr>
      </w:pPr>
    </w:p>
    <w:p>
      <w:pPr>
        <w:pStyle w:val="3"/>
        <w:pageBreakBefore w:val="0"/>
        <w:widowControl w:val="0"/>
        <w:kinsoku/>
        <w:wordWrap/>
        <w:overflowPunct/>
        <w:topLinePunct w:val="0"/>
        <w:autoSpaceDE/>
        <w:autoSpaceDN/>
        <w:bidi w:val="0"/>
        <w:adjustRightInd w:val="0"/>
        <w:snapToGrid w:val="0"/>
        <w:spacing w:before="0" w:after="0" w:line="560" w:lineRule="exact"/>
        <w:ind w:left="0" w:right="0"/>
        <w:jc w:val="center"/>
        <w:textAlignment w:val="auto"/>
        <w:rPr>
          <w:rStyle w:val="27"/>
          <w:rFonts w:ascii="黑体" w:hAnsi="黑体" w:eastAsia="黑体"/>
          <w:b w:val="0"/>
          <w:bCs w:val="0"/>
        </w:rPr>
      </w:pPr>
      <w:r>
        <w:rPr>
          <w:rStyle w:val="27"/>
          <w:rFonts w:hint="eastAsia" w:ascii="黑体" w:hAnsi="黑体" w:eastAsia="黑体" w:cs="黑体"/>
          <w:b w:val="0"/>
          <w:bCs w:val="0"/>
          <w:lang w:val="en-US" w:eastAsia="zh-CN"/>
        </w:rPr>
        <w:t xml:space="preserve">第二部分 </w:t>
      </w:r>
      <w:r>
        <w:rPr>
          <w:rStyle w:val="27"/>
          <w:rFonts w:hint="eastAsia" w:ascii="黑体" w:hAnsi="黑体" w:eastAsia="黑体" w:cs="黑体"/>
          <w:b w:val="0"/>
          <w:bCs w:val="0"/>
        </w:rPr>
        <w:t>20</w:t>
      </w:r>
      <w:r>
        <w:rPr>
          <w:rStyle w:val="27"/>
          <w:rFonts w:hint="eastAsia" w:ascii="黑体" w:hAnsi="黑体" w:eastAsia="黑体" w:cs="黑体"/>
          <w:b w:val="0"/>
          <w:bCs w:val="0"/>
          <w:lang w:val="en-US" w:eastAsia="zh-CN"/>
        </w:rPr>
        <w:t>20</w:t>
      </w:r>
      <w:r>
        <w:rPr>
          <w:rStyle w:val="27"/>
          <w:rFonts w:hint="eastAsia" w:ascii="黑体" w:hAnsi="黑体" w:eastAsia="黑体" w:cs="黑体"/>
          <w:b w:val="0"/>
          <w:bCs w:val="0"/>
        </w:rPr>
        <w:t>年度部门决算情况说明</w:t>
      </w:r>
      <w:bookmarkEnd w:id="34"/>
      <w:bookmarkEnd w:id="35"/>
    </w:p>
    <w:p>
      <w:pPr>
        <w:keepNext w:val="0"/>
        <w:keepLines w:val="0"/>
        <w:pageBreakBefore w:val="0"/>
        <w:widowControl w:val="0"/>
        <w:kinsoku/>
        <w:wordWrap/>
        <w:overflowPunct/>
        <w:topLinePunct w:val="0"/>
        <w:autoSpaceDE/>
        <w:autoSpaceDN/>
        <w:bidi w:val="0"/>
        <w:adjustRightInd w:val="0"/>
        <w:snapToGrid w:val="0"/>
        <w:spacing w:line="560" w:lineRule="exact"/>
        <w:ind w:left="0" w:right="0"/>
        <w:textAlignment w:val="auto"/>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640" w:firstLineChars="200"/>
        <w:textAlignment w:val="auto"/>
        <w:outlineLvl w:val="1"/>
        <w:rPr>
          <w:rStyle w:val="28"/>
          <w:rFonts w:ascii="黑体" w:hAnsi="黑体" w:eastAsia="黑体"/>
          <w:b w:val="0"/>
        </w:rPr>
      </w:pPr>
      <w:bookmarkStart w:id="36" w:name="_Toc15396603"/>
      <w:bookmarkStart w:id="37" w:name="_Toc15377205"/>
      <w:r>
        <w:rPr>
          <w:rFonts w:hint="eastAsia" w:ascii="黑体" w:hAnsi="黑体" w:eastAsia="黑体"/>
          <w:color w:val="000000"/>
          <w:sz w:val="32"/>
          <w:szCs w:val="32"/>
          <w:lang w:val="en-US" w:eastAsia="zh-CN"/>
        </w:rPr>
        <w:t>一、</w:t>
      </w:r>
      <w:r>
        <w:rPr>
          <w:rFonts w:hint="eastAsia" w:ascii="黑体" w:hAnsi="黑体" w:eastAsia="黑体"/>
          <w:color w:val="000000"/>
          <w:sz w:val="32"/>
          <w:szCs w:val="32"/>
        </w:rPr>
        <w:t>收</w:t>
      </w:r>
      <w:r>
        <w:rPr>
          <w:rStyle w:val="28"/>
          <w:rFonts w:hint="eastAsia" w:ascii="黑体" w:hAnsi="黑体" w:eastAsia="黑体"/>
          <w:b w:val="0"/>
        </w:rPr>
        <w:t>入支出决算总体情况说明</w:t>
      </w:r>
      <w:bookmarkEnd w:id="36"/>
      <w:bookmarkEnd w:id="37"/>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年度收、支总计</w:t>
      </w:r>
      <w:r>
        <w:rPr>
          <w:rFonts w:hint="eastAsia" w:ascii="仿宋_GB2312" w:hAnsi="仿宋_GB2312" w:eastAsia="仿宋_GB2312" w:cs="仿宋_GB2312"/>
          <w:color w:val="000000"/>
          <w:sz w:val="32"/>
          <w:szCs w:val="32"/>
          <w:lang w:val="en-US" w:eastAsia="zh-CN"/>
        </w:rPr>
        <w:t>14027.52</w:t>
      </w:r>
      <w:r>
        <w:rPr>
          <w:rFonts w:hint="eastAsia" w:ascii="仿宋_GB2312" w:hAnsi="仿宋_GB2312" w:eastAsia="仿宋_GB2312" w:cs="仿宋_GB2312"/>
          <w:color w:val="000000"/>
          <w:sz w:val="32"/>
          <w:szCs w:val="32"/>
        </w:rPr>
        <w:t>万元。与201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年相比，收、支总计各</w:t>
      </w:r>
      <w:r>
        <w:rPr>
          <w:rFonts w:hint="eastAsia" w:ascii="仿宋_GB2312" w:hAnsi="仿宋_GB2312" w:eastAsia="仿宋_GB2312" w:cs="仿宋_GB2312"/>
          <w:color w:val="000000"/>
          <w:sz w:val="32"/>
          <w:szCs w:val="32"/>
          <w:lang w:val="en-US" w:eastAsia="zh-CN"/>
        </w:rPr>
        <w:t>减少2126.43</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val="en-US" w:eastAsia="zh-CN"/>
        </w:rPr>
        <w:t>下降13.16</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auto"/>
          <w:sz w:val="32"/>
          <w:szCs w:val="32"/>
        </w:rPr>
        <w:t>主要变动原因是</w:t>
      </w:r>
      <w:r>
        <w:rPr>
          <w:rFonts w:hint="eastAsia" w:ascii="仿宋_GB2312" w:hAnsi="仿宋_GB2312" w:eastAsia="仿宋_GB2312" w:cs="仿宋_GB2312"/>
          <w:color w:val="auto"/>
          <w:sz w:val="32"/>
          <w:szCs w:val="32"/>
          <w:lang w:val="en-US" w:eastAsia="zh-CN"/>
        </w:rPr>
        <w:t>2019年安排</w:t>
      </w:r>
      <w:r>
        <w:rPr>
          <w:rFonts w:hint="eastAsia" w:ascii="仿宋_GB2312" w:hAnsi="仿宋_GB2312" w:eastAsia="仿宋_GB2312" w:cs="仿宋_GB2312"/>
          <w:color w:val="auto"/>
          <w:sz w:val="32"/>
          <w:szCs w:val="32"/>
        </w:rPr>
        <w:t>省属企业供销综合改革及发展资金</w:t>
      </w:r>
      <w:r>
        <w:rPr>
          <w:rFonts w:hint="eastAsia" w:ascii="仿宋_GB2312" w:hAnsi="仿宋_GB2312" w:eastAsia="仿宋_GB2312" w:cs="仿宋_GB2312"/>
          <w:color w:val="auto"/>
          <w:sz w:val="32"/>
          <w:szCs w:val="32"/>
          <w:lang w:val="en-US" w:eastAsia="zh-CN"/>
        </w:rPr>
        <w:t>3000万元，2020年未安排。</w:t>
      </w:r>
    </w:p>
    <w:p>
      <w:pPr>
        <w:pStyle w:val="2"/>
        <w:rPr>
          <w:rFonts w:hint="eastAsia" w:ascii="仿宋_GB2312" w:hAnsi="仿宋_GB2312" w:eastAsia="仿宋_GB2312" w:cs="仿宋_GB2312"/>
          <w:color w:val="auto"/>
          <w:sz w:val="32"/>
          <w:szCs w:val="32"/>
          <w:lang w:val="en-US" w:eastAsia="zh-CN"/>
        </w:rPr>
      </w:pPr>
      <w:r>
        <w:drawing>
          <wp:anchor distT="0" distB="0" distL="114935" distR="114935" simplePos="0" relativeHeight="251665408" behindDoc="0" locked="0" layoutInCell="1" allowOverlap="1">
            <wp:simplePos x="0" y="0"/>
            <wp:positionH relativeFrom="column">
              <wp:posOffset>401955</wp:posOffset>
            </wp:positionH>
            <wp:positionV relativeFrom="paragraph">
              <wp:posOffset>164465</wp:posOffset>
            </wp:positionV>
            <wp:extent cx="4975860" cy="2834005"/>
            <wp:effectExtent l="6350" t="6350" r="16510" b="9525"/>
            <wp:wrapNone/>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1600" w:firstLineChars="500"/>
        <w:textAlignment w:val="auto"/>
        <w:outlineLvl w:val="1"/>
        <w:rPr>
          <w:rFonts w:hint="eastAsia" w:ascii="仿宋_GB2312" w:hAnsi="仿宋_GB2312" w:eastAsia="仿宋_GB2312" w:cs="仿宋_GB2312"/>
          <w:color w:val="000000" w:themeColor="text1"/>
          <w:sz w:val="32"/>
          <w:szCs w:val="32"/>
          <w14:textFill>
            <w14:solidFill>
              <w14:schemeClr w14:val="tx1"/>
            </w14:solidFill>
          </w14:textFill>
        </w:rPr>
      </w:pP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1920" w:firstLineChars="600"/>
        <w:textAlignment w:val="auto"/>
        <w:outlineLvl w:val="1"/>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图1：收、支决算总计变动情况图</w:t>
      </w:r>
      <w:bookmarkStart w:id="38" w:name="_Toc15377206"/>
      <w:bookmarkStart w:id="39" w:name="_Toc15396604"/>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pStyle w:val="26"/>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firstLine="640" w:firstLineChars="200"/>
        <w:textAlignment w:val="auto"/>
        <w:outlineLvl w:val="1"/>
        <w:rPr>
          <w:rStyle w:val="28"/>
          <w:rFonts w:ascii="黑体" w:hAnsi="黑体" w:eastAsia="黑体"/>
          <w:b w:val="0"/>
        </w:rPr>
      </w:pPr>
      <w:r>
        <w:rPr>
          <w:rFonts w:hint="eastAsia" w:ascii="黑体" w:hAnsi="黑体" w:eastAsia="黑体"/>
          <w:color w:val="000000"/>
          <w:sz w:val="32"/>
          <w:szCs w:val="32"/>
          <w:lang w:val="en-US" w:eastAsia="zh-CN"/>
        </w:rPr>
        <w:t xml:space="preserve">二、 </w:t>
      </w:r>
      <w:r>
        <w:rPr>
          <w:rFonts w:hint="eastAsia" w:ascii="黑体" w:hAnsi="黑体" w:eastAsia="黑体"/>
          <w:color w:val="000000"/>
          <w:sz w:val="32"/>
          <w:szCs w:val="32"/>
        </w:rPr>
        <w:t>收</w:t>
      </w:r>
      <w:r>
        <w:rPr>
          <w:rStyle w:val="28"/>
          <w:rFonts w:hint="eastAsia" w:ascii="黑体" w:hAnsi="黑体" w:eastAsia="黑体"/>
          <w:b w:val="0"/>
        </w:rPr>
        <w:t>入决算情况说明</w:t>
      </w:r>
      <w:bookmarkEnd w:id="38"/>
      <w:bookmarkEnd w:id="39"/>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textAlignment w:val="auto"/>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年本年收入合计</w:t>
      </w:r>
      <w:r>
        <w:rPr>
          <w:rFonts w:hint="eastAsia" w:ascii="仿宋_GB2312" w:hAnsi="仿宋_GB2312" w:eastAsia="仿宋_GB2312" w:cs="仿宋_GB2312"/>
          <w:color w:val="000000"/>
          <w:sz w:val="32"/>
          <w:szCs w:val="32"/>
          <w:lang w:val="en-US" w:eastAsia="zh-CN"/>
        </w:rPr>
        <w:t>14027.52</w:t>
      </w:r>
      <w:r>
        <w:rPr>
          <w:rFonts w:hint="eastAsia" w:ascii="仿宋_GB2312" w:hAnsi="仿宋_GB2312" w:eastAsia="仿宋_GB2312" w:cs="仿宋_GB2312"/>
          <w:color w:val="000000"/>
          <w:sz w:val="32"/>
          <w:szCs w:val="32"/>
        </w:rPr>
        <w:t>万元，其中：一般公共预算财政拨款收入13747.48万元，占</w:t>
      </w:r>
      <w:r>
        <w:rPr>
          <w:rFonts w:hint="eastAsia" w:ascii="仿宋_GB2312" w:hAnsi="仿宋_GB2312" w:eastAsia="仿宋_GB2312" w:cs="仿宋_GB2312"/>
          <w:color w:val="000000"/>
          <w:sz w:val="32"/>
          <w:szCs w:val="32"/>
          <w:lang w:val="en-US" w:eastAsia="zh-CN"/>
        </w:rPr>
        <w:t>98</w:t>
      </w:r>
      <w:r>
        <w:rPr>
          <w:rFonts w:hint="eastAsia" w:ascii="仿宋_GB2312" w:hAnsi="仿宋_GB2312" w:eastAsia="仿宋_GB2312" w:cs="仿宋_GB2312"/>
          <w:color w:val="000000"/>
          <w:sz w:val="32"/>
          <w:szCs w:val="32"/>
        </w:rPr>
        <w:t>%；事业收入</w:t>
      </w:r>
      <w:r>
        <w:rPr>
          <w:rFonts w:hint="eastAsia" w:ascii="仿宋_GB2312" w:hAnsi="仿宋_GB2312" w:eastAsia="仿宋_GB2312" w:cs="仿宋_GB2312"/>
          <w:color w:val="000000"/>
          <w:sz w:val="32"/>
          <w:szCs w:val="32"/>
          <w:lang w:val="en-US" w:eastAsia="zh-CN"/>
        </w:rPr>
        <w:t>280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占</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其他收入</w:t>
      </w:r>
      <w:r>
        <w:rPr>
          <w:rFonts w:hint="eastAsia" w:ascii="仿宋_GB2312" w:hAnsi="仿宋_GB2312" w:eastAsia="仿宋_GB2312" w:cs="仿宋_GB2312"/>
          <w:color w:val="000000"/>
          <w:sz w:val="32"/>
          <w:szCs w:val="32"/>
          <w:lang w:val="en-US" w:eastAsia="zh-CN"/>
        </w:rPr>
        <w:t>0.04</w:t>
      </w:r>
      <w:r>
        <w:rPr>
          <w:rFonts w:hint="eastAsia" w:ascii="仿宋_GB2312" w:hAnsi="仿宋_GB2312" w:eastAsia="仿宋_GB2312" w:cs="仿宋_GB2312"/>
          <w:color w:val="000000"/>
          <w:sz w:val="32"/>
          <w:szCs w:val="32"/>
        </w:rPr>
        <w:t>万元。</w:t>
      </w:r>
    </w:p>
    <w:p>
      <w:pPr>
        <w:pStyle w:val="2"/>
        <w:rPr>
          <w:rFonts w:hint="eastAsia" w:ascii="仿宋_GB2312" w:hAnsi="仿宋_GB2312" w:eastAsia="仿宋_GB2312" w:cs="仿宋_GB2312"/>
          <w:color w:val="000000"/>
          <w:sz w:val="32"/>
          <w:szCs w:val="32"/>
        </w:rPr>
      </w:pPr>
      <w:r>
        <w:drawing>
          <wp:anchor distT="0" distB="0" distL="114935" distR="114935" simplePos="0" relativeHeight="251659264" behindDoc="0" locked="0" layoutInCell="1" allowOverlap="1">
            <wp:simplePos x="0" y="0"/>
            <wp:positionH relativeFrom="column">
              <wp:posOffset>433070</wp:posOffset>
            </wp:positionH>
            <wp:positionV relativeFrom="paragraph">
              <wp:posOffset>212090</wp:posOffset>
            </wp:positionV>
            <wp:extent cx="4672330" cy="2870835"/>
            <wp:effectExtent l="6350" t="6350" r="15240" b="1841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2560" w:firstLineChars="8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图2：收入决算结构图</w:t>
      </w:r>
    </w:p>
    <w:p>
      <w:pPr>
        <w:pStyle w:val="26"/>
        <w:keepNext w:val="0"/>
        <w:keepLines w:val="0"/>
        <w:pageBreakBefore w:val="0"/>
        <w:widowControl w:val="0"/>
        <w:numPr>
          <w:ilvl w:val="0"/>
          <w:numId w:val="0"/>
        </w:numPr>
        <w:kinsoku/>
        <w:wordWrap/>
        <w:overflowPunct/>
        <w:topLinePunct w:val="0"/>
        <w:bidi w:val="0"/>
        <w:adjustRightInd w:val="0"/>
        <w:snapToGrid w:val="0"/>
        <w:spacing w:line="560" w:lineRule="exact"/>
        <w:ind w:left="-720" w:leftChars="0" w:right="0" w:rightChars="0" w:firstLine="1280" w:firstLineChars="400"/>
        <w:textAlignment w:val="auto"/>
        <w:outlineLvl w:val="1"/>
        <w:rPr>
          <w:rStyle w:val="28"/>
          <w:rFonts w:ascii="黑体" w:hAnsi="黑体" w:eastAsia="黑体"/>
          <w:b w:val="0"/>
        </w:rPr>
      </w:pPr>
      <w:bookmarkStart w:id="40" w:name="_Toc15377207"/>
      <w:bookmarkStart w:id="41" w:name="_Toc15396605"/>
      <w:r>
        <w:rPr>
          <w:rFonts w:hint="eastAsia" w:ascii="黑体" w:hAnsi="黑体" w:eastAsia="黑体"/>
          <w:color w:val="000000"/>
          <w:sz w:val="32"/>
          <w:szCs w:val="32"/>
          <w:lang w:val="en-US" w:eastAsia="zh-CN"/>
        </w:rPr>
        <w:t>三、</w:t>
      </w:r>
      <w:r>
        <w:rPr>
          <w:rFonts w:hint="eastAsia" w:ascii="黑体" w:hAnsi="黑体" w:eastAsia="黑体"/>
          <w:color w:val="000000"/>
          <w:sz w:val="32"/>
          <w:szCs w:val="32"/>
        </w:rPr>
        <w:t>支</w:t>
      </w:r>
      <w:r>
        <w:rPr>
          <w:rStyle w:val="28"/>
          <w:rFonts w:hint="eastAsia" w:ascii="黑体" w:hAnsi="黑体" w:eastAsia="黑体"/>
          <w:b w:val="0"/>
        </w:rPr>
        <w:t>出决算情况说明</w:t>
      </w:r>
      <w:bookmarkEnd w:id="40"/>
      <w:bookmarkEnd w:id="41"/>
    </w:p>
    <w:p>
      <w:pPr>
        <w:keepNext w:val="0"/>
        <w:keepLines w:val="0"/>
        <w:pageBreakBefore w:val="0"/>
        <w:widowControl w:val="0"/>
        <w:kinsoku/>
        <w:wordWrap/>
        <w:overflowPunct/>
        <w:topLinePunct w:val="0"/>
        <w:bidi w:val="0"/>
        <w:adjustRightInd w:val="0"/>
        <w:snapToGrid w:val="0"/>
        <w:spacing w:line="560" w:lineRule="exact"/>
        <w:ind w:left="0" w:right="0" w:firstLine="640" w:firstLineChars="200"/>
        <w:textAlignment w:val="auto"/>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年本年支出合计</w:t>
      </w:r>
      <w:r>
        <w:rPr>
          <w:rFonts w:hint="eastAsia" w:ascii="仿宋_GB2312" w:hAnsi="仿宋_GB2312" w:eastAsia="仿宋_GB2312" w:cs="仿宋_GB2312"/>
          <w:color w:val="000000"/>
          <w:sz w:val="32"/>
          <w:szCs w:val="32"/>
          <w:lang w:val="en-US" w:eastAsia="zh-CN"/>
        </w:rPr>
        <w:t>14027.52</w:t>
      </w:r>
      <w:r>
        <w:rPr>
          <w:rFonts w:hint="eastAsia" w:ascii="仿宋_GB2312" w:hAnsi="仿宋_GB2312" w:eastAsia="仿宋_GB2312" w:cs="仿宋_GB2312"/>
          <w:color w:val="000000"/>
          <w:sz w:val="32"/>
          <w:szCs w:val="32"/>
        </w:rPr>
        <w:t>万元，其中：基本支出</w:t>
      </w:r>
      <w:r>
        <w:rPr>
          <w:rFonts w:hint="eastAsia" w:ascii="仿宋_GB2312" w:hAnsi="仿宋_GB2312" w:eastAsia="仿宋_GB2312" w:cs="仿宋_GB2312"/>
          <w:color w:val="000000"/>
          <w:sz w:val="32"/>
          <w:szCs w:val="32"/>
          <w:lang w:val="en-US" w:eastAsia="zh-CN"/>
        </w:rPr>
        <w:t>6331.26</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45.13</w:t>
      </w:r>
      <w:r>
        <w:rPr>
          <w:rFonts w:hint="eastAsia" w:ascii="仿宋_GB2312" w:hAnsi="仿宋_GB2312" w:eastAsia="仿宋_GB2312" w:cs="仿宋_GB2312"/>
          <w:color w:val="000000"/>
          <w:sz w:val="32"/>
          <w:szCs w:val="32"/>
        </w:rPr>
        <w:t>%；项目支出</w:t>
      </w:r>
      <w:r>
        <w:rPr>
          <w:rFonts w:hint="eastAsia" w:ascii="仿宋_GB2312" w:hAnsi="仿宋_GB2312" w:eastAsia="仿宋_GB2312" w:cs="仿宋_GB2312"/>
          <w:color w:val="000000"/>
          <w:sz w:val="32"/>
          <w:szCs w:val="32"/>
          <w:lang w:val="en-US" w:eastAsia="zh-CN"/>
        </w:rPr>
        <w:t>7696.27</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54.87</w:t>
      </w:r>
      <w:r>
        <w:rPr>
          <w:rFonts w:hint="eastAsia" w:ascii="仿宋_GB2312" w:hAnsi="仿宋_GB2312" w:eastAsia="仿宋_GB2312" w:cs="仿宋_GB2312"/>
          <w:color w:val="000000"/>
          <w:sz w:val="32"/>
          <w:szCs w:val="32"/>
        </w:rPr>
        <w:t>%。</w:t>
      </w:r>
    </w:p>
    <w:p>
      <w:pPr>
        <w:pStyle w:val="2"/>
        <w:rPr>
          <w:rFonts w:hint="eastAsia" w:ascii="仿宋_GB2312" w:hAnsi="仿宋_GB2312" w:eastAsia="仿宋_GB2312" w:cs="仿宋_GB2312"/>
          <w:color w:val="000000"/>
          <w:sz w:val="32"/>
          <w:szCs w:val="32"/>
        </w:rPr>
      </w:pPr>
      <w:r>
        <w:drawing>
          <wp:anchor distT="0" distB="0" distL="114935" distR="114935" simplePos="0" relativeHeight="251660288" behindDoc="0" locked="0" layoutInCell="1" allowOverlap="1">
            <wp:simplePos x="0" y="0"/>
            <wp:positionH relativeFrom="column">
              <wp:posOffset>539750</wp:posOffset>
            </wp:positionH>
            <wp:positionV relativeFrom="page">
              <wp:posOffset>5949315</wp:posOffset>
            </wp:positionV>
            <wp:extent cx="4692015" cy="3023870"/>
            <wp:effectExtent l="6350" t="6350" r="10795" b="17780"/>
            <wp:wrapNone/>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bidi w:val="0"/>
        <w:adjustRightInd w:val="0"/>
        <w:snapToGrid w:val="0"/>
        <w:spacing w:line="560" w:lineRule="exact"/>
        <w:ind w:left="0" w:right="0" w:firstLine="2560" w:firstLineChars="800"/>
        <w:textAlignment w:val="auto"/>
        <w:outlineLvl w:val="1"/>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line="560" w:lineRule="exact"/>
        <w:ind w:left="0" w:right="0" w:firstLine="2880" w:firstLineChars="900"/>
        <w:textAlignment w:val="auto"/>
        <w:outlineLvl w:val="1"/>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图3：支出决算结构图</w:t>
      </w:r>
      <w:bookmarkStart w:id="42" w:name="_Toc15377208"/>
      <w:bookmarkStart w:id="43" w:name="_Toc15396606"/>
    </w:p>
    <w:p>
      <w:pPr>
        <w:keepNext w:val="0"/>
        <w:keepLines w:val="0"/>
        <w:pageBreakBefore w:val="0"/>
        <w:widowControl w:val="0"/>
        <w:kinsoku/>
        <w:wordWrap/>
        <w:overflowPunct/>
        <w:topLinePunct w:val="0"/>
        <w:bidi w:val="0"/>
        <w:adjustRightInd w:val="0"/>
        <w:snapToGrid w:val="0"/>
        <w:spacing w:line="560" w:lineRule="exact"/>
        <w:ind w:left="0" w:right="0" w:firstLine="640" w:firstLineChars="200"/>
        <w:textAlignment w:val="auto"/>
        <w:outlineLvl w:val="1"/>
        <w:rPr>
          <w:rStyle w:val="28"/>
          <w:rFonts w:ascii="黑体" w:hAnsi="黑体" w:eastAsia="黑体"/>
          <w:b w:val="0"/>
        </w:rPr>
      </w:pPr>
      <w:r>
        <w:rPr>
          <w:rFonts w:hint="eastAsia" w:ascii="黑体" w:hAnsi="黑体" w:eastAsia="黑体"/>
          <w:color w:val="000000"/>
          <w:sz w:val="32"/>
          <w:szCs w:val="32"/>
        </w:rPr>
        <w:t>四、财</w:t>
      </w:r>
      <w:r>
        <w:rPr>
          <w:rStyle w:val="28"/>
          <w:rFonts w:hint="eastAsia" w:ascii="黑体" w:hAnsi="黑体" w:eastAsia="黑体"/>
          <w:b w:val="0"/>
        </w:rPr>
        <w:t>政拨款收入支出决算总体情况说明</w:t>
      </w:r>
      <w:bookmarkEnd w:id="42"/>
      <w:bookmarkEnd w:id="43"/>
    </w:p>
    <w:p>
      <w:pPr>
        <w:keepNext w:val="0"/>
        <w:keepLines w:val="0"/>
        <w:pageBreakBefore w:val="0"/>
        <w:widowControl w:val="0"/>
        <w:kinsoku/>
        <w:wordWrap/>
        <w:overflowPunct/>
        <w:topLinePunct w:val="0"/>
        <w:bidi w:val="0"/>
        <w:adjustRightInd w:val="0"/>
        <w:snapToGrid w:val="0"/>
        <w:spacing w:line="560" w:lineRule="exact"/>
        <w:ind w:left="0" w:right="0"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年财政拨款收、支总计</w:t>
      </w:r>
      <w:r>
        <w:rPr>
          <w:rFonts w:hint="eastAsia" w:ascii="仿宋_GB2312" w:hAnsi="仿宋_GB2312" w:eastAsia="仿宋_GB2312" w:cs="仿宋_GB2312"/>
          <w:color w:val="000000"/>
          <w:sz w:val="32"/>
          <w:szCs w:val="32"/>
          <w:lang w:val="en-US" w:eastAsia="zh-CN"/>
        </w:rPr>
        <w:t>13747.48</w:t>
      </w:r>
      <w:r>
        <w:rPr>
          <w:rFonts w:hint="eastAsia" w:ascii="仿宋_GB2312" w:hAnsi="仿宋_GB2312" w:eastAsia="仿宋_GB2312" w:cs="仿宋_GB2312"/>
          <w:color w:val="000000"/>
          <w:sz w:val="32"/>
          <w:szCs w:val="32"/>
        </w:rPr>
        <w:t>万元。与201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年相比，财政拨款收、支总计各减少</w:t>
      </w:r>
      <w:r>
        <w:rPr>
          <w:rFonts w:hint="eastAsia" w:ascii="仿宋_GB2312" w:hAnsi="仿宋_GB2312" w:eastAsia="仿宋_GB2312" w:cs="仿宋_GB2312"/>
          <w:color w:val="000000"/>
          <w:sz w:val="32"/>
          <w:szCs w:val="32"/>
          <w:lang w:val="en-US" w:eastAsia="zh-CN"/>
        </w:rPr>
        <w:t>2143.65</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13.49</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主要变动原因是</w:t>
      </w:r>
      <w:r>
        <w:rPr>
          <w:rFonts w:hint="eastAsia" w:ascii="仿宋_GB2312" w:hAnsi="仿宋_GB2312" w:eastAsia="仿宋_GB2312" w:cs="仿宋_GB2312"/>
          <w:color w:val="000000"/>
          <w:sz w:val="32"/>
          <w:szCs w:val="32"/>
        </w:rPr>
        <w:t>2019年安排省属企业供销综合改革及发展资金3000万元，2020年未安排。</w:t>
      </w:r>
    </w:p>
    <w:p>
      <w:pPr>
        <w:pStyle w:val="2"/>
        <w:rPr>
          <w:rFonts w:hint="eastAsia" w:ascii="仿宋_GB2312" w:hAnsi="仿宋_GB2312" w:eastAsia="仿宋_GB2312" w:cs="仿宋_GB2312"/>
          <w:color w:val="000000"/>
          <w:sz w:val="32"/>
          <w:szCs w:val="32"/>
        </w:rPr>
      </w:pPr>
      <w:r>
        <w:drawing>
          <wp:anchor distT="0" distB="0" distL="114935" distR="114935" simplePos="0" relativeHeight="251661312" behindDoc="0" locked="0" layoutInCell="1" allowOverlap="1">
            <wp:simplePos x="0" y="0"/>
            <wp:positionH relativeFrom="column">
              <wp:posOffset>217805</wp:posOffset>
            </wp:positionH>
            <wp:positionV relativeFrom="page">
              <wp:posOffset>3107690</wp:posOffset>
            </wp:positionV>
            <wp:extent cx="5093970" cy="2954655"/>
            <wp:effectExtent l="6350" t="6350" r="20320" b="10795"/>
            <wp:wrapNone/>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bidi w:val="0"/>
        <w:adjustRightInd w:val="0"/>
        <w:snapToGrid w:val="0"/>
        <w:spacing w:line="560" w:lineRule="exact"/>
        <w:ind w:left="0" w:right="0" w:firstLine="960" w:firstLineChars="3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line="560" w:lineRule="exact"/>
        <w:ind w:left="0" w:right="0" w:firstLine="960" w:firstLineChars="3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图4：财政拨款收、支决算总计变动情况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val="0"/>
        <w:spacing w:line="560" w:lineRule="exact"/>
        <w:ind w:left="0" w:right="0" w:firstLine="640" w:firstLineChars="200"/>
        <w:textAlignment w:val="auto"/>
        <w:outlineLvl w:val="1"/>
        <w:rPr>
          <w:rStyle w:val="28"/>
          <w:rFonts w:ascii="黑体" w:hAnsi="黑体" w:eastAsia="黑体"/>
          <w:b w:val="0"/>
        </w:rPr>
      </w:pPr>
      <w:bookmarkStart w:id="44" w:name="_Toc15377209"/>
      <w:bookmarkStart w:id="45"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8"/>
          <w:rFonts w:hint="eastAsia" w:ascii="黑体" w:hAnsi="黑体" w:eastAsia="黑体"/>
          <w:b w:val="0"/>
        </w:rPr>
        <w:t>般公共预算财政拨款支出决算情况说明</w:t>
      </w:r>
      <w:bookmarkEnd w:id="44"/>
      <w:bookmarkEnd w:id="45"/>
    </w:p>
    <w:p>
      <w:pPr>
        <w:keepNext w:val="0"/>
        <w:keepLines w:val="0"/>
        <w:pageBreakBefore w:val="0"/>
        <w:widowControl w:val="0"/>
        <w:kinsoku/>
        <w:wordWrap/>
        <w:overflowPunct/>
        <w:topLinePunct w:val="0"/>
        <w:bidi w:val="0"/>
        <w:adjustRightInd w:val="0"/>
        <w:snapToGrid w:val="0"/>
        <w:spacing w:line="560" w:lineRule="exact"/>
        <w:ind w:left="0" w:right="0" w:firstLine="643" w:firstLineChars="200"/>
        <w:textAlignment w:val="auto"/>
        <w:outlineLvl w:val="2"/>
        <w:rPr>
          <w:rFonts w:ascii="仿宋" w:hAnsi="仿宋" w:eastAsia="仿宋"/>
          <w:b/>
          <w:color w:val="000000"/>
          <w:sz w:val="32"/>
          <w:szCs w:val="32"/>
        </w:rPr>
      </w:pPr>
      <w:bookmarkStart w:id="46" w:name="_Toc15377210"/>
      <w:r>
        <w:rPr>
          <w:rFonts w:hint="eastAsia" w:ascii="方正楷体_GBK" w:hAnsi="方正楷体_GBK" w:eastAsia="方正楷体_GBK" w:cs="方正楷体_GBK"/>
          <w:b/>
          <w:color w:val="000000"/>
          <w:sz w:val="32"/>
          <w:szCs w:val="32"/>
        </w:rPr>
        <w:t>（一）一般公共预算财政拨款支出决算总体情况</w:t>
      </w:r>
      <w:bookmarkEnd w:id="46"/>
    </w:p>
    <w:p>
      <w:pPr>
        <w:keepNext w:val="0"/>
        <w:keepLines w:val="0"/>
        <w:pageBreakBefore w:val="0"/>
        <w:widowControl w:val="0"/>
        <w:kinsoku/>
        <w:wordWrap/>
        <w:overflowPunct/>
        <w:topLinePunct w:val="0"/>
        <w:bidi w:val="0"/>
        <w:adjustRightInd w:val="0"/>
        <w:snapToGrid w:val="0"/>
        <w:spacing w:line="560" w:lineRule="exact"/>
        <w:ind w:left="0" w:right="0"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年一般公共预算财政拨款支出</w:t>
      </w:r>
      <w:r>
        <w:rPr>
          <w:rFonts w:hint="eastAsia" w:ascii="仿宋_GB2312" w:hAnsi="仿宋_GB2312" w:eastAsia="仿宋_GB2312" w:cs="仿宋_GB2312"/>
          <w:color w:val="000000"/>
          <w:sz w:val="32"/>
          <w:szCs w:val="32"/>
          <w:lang w:val="en-US" w:eastAsia="zh-CN"/>
        </w:rPr>
        <w:t>13747.48</w:t>
      </w:r>
      <w:r>
        <w:rPr>
          <w:rFonts w:hint="eastAsia" w:ascii="仿宋_GB2312" w:hAnsi="仿宋_GB2312" w:eastAsia="仿宋_GB2312" w:cs="仿宋_GB2312"/>
          <w:color w:val="000000"/>
          <w:sz w:val="32"/>
          <w:szCs w:val="32"/>
        </w:rPr>
        <w:t>万元，占本年支出合计的</w:t>
      </w:r>
      <w:r>
        <w:rPr>
          <w:rFonts w:hint="eastAsia" w:ascii="仿宋_GB2312" w:hAnsi="仿宋_GB2312" w:eastAsia="仿宋_GB2312" w:cs="仿宋_GB2312"/>
          <w:color w:val="000000"/>
          <w:sz w:val="32"/>
          <w:szCs w:val="32"/>
          <w:lang w:val="en-US" w:eastAsia="zh-CN"/>
        </w:rPr>
        <w:t>98</w:t>
      </w:r>
      <w:r>
        <w:rPr>
          <w:rFonts w:hint="eastAsia" w:ascii="仿宋_GB2312" w:hAnsi="仿宋_GB2312" w:eastAsia="仿宋_GB2312" w:cs="仿宋_GB2312"/>
          <w:color w:val="000000"/>
          <w:sz w:val="32"/>
          <w:szCs w:val="32"/>
        </w:rPr>
        <w:t>%。与201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年相比，一般公共预算财政拨款减少</w:t>
      </w:r>
      <w:r>
        <w:rPr>
          <w:rFonts w:hint="eastAsia" w:ascii="仿宋_GB2312" w:hAnsi="仿宋_GB2312" w:eastAsia="仿宋_GB2312" w:cs="仿宋_GB2312"/>
          <w:color w:val="000000"/>
          <w:sz w:val="32"/>
          <w:szCs w:val="32"/>
          <w:lang w:val="en-US" w:eastAsia="zh-CN"/>
        </w:rPr>
        <w:t>2143.65</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13.49</w:t>
      </w:r>
      <w:r>
        <w:rPr>
          <w:rFonts w:hint="eastAsia" w:ascii="仿宋_GB2312" w:hAnsi="仿宋_GB2312" w:eastAsia="仿宋_GB2312" w:cs="仿宋_GB2312"/>
          <w:color w:val="000000"/>
          <w:sz w:val="32"/>
          <w:szCs w:val="32"/>
        </w:rPr>
        <w:t>%。主要变动原因是2019年安排省属企业供销综合改革及发展资金3000万元，2020年未安排。</w:t>
      </w: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r>
        <w:drawing>
          <wp:anchor distT="0" distB="0" distL="114935" distR="114935" simplePos="0" relativeHeight="251662336" behindDoc="0" locked="0" layoutInCell="1" allowOverlap="1">
            <wp:simplePos x="0" y="0"/>
            <wp:positionH relativeFrom="column">
              <wp:posOffset>356235</wp:posOffset>
            </wp:positionH>
            <wp:positionV relativeFrom="page">
              <wp:posOffset>1697990</wp:posOffset>
            </wp:positionV>
            <wp:extent cx="5013960" cy="2940685"/>
            <wp:effectExtent l="6350" t="6350" r="8890" b="9525"/>
            <wp:wrapNone/>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bidi w:val="0"/>
        <w:adjustRightInd w:val="0"/>
        <w:snapToGrid w:val="0"/>
        <w:spacing w:line="560" w:lineRule="exact"/>
        <w:ind w:left="0" w:right="0" w:firstLine="640" w:firstLineChars="200"/>
        <w:textAlignment w:val="auto"/>
        <w:outlineLvl w:val="2"/>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图5：一般公共预算财政拨款支出决算变动情况</w:t>
      </w:r>
      <w:bookmarkStart w:id="47" w:name="_Toc15377211"/>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bidi w:val="0"/>
        <w:adjustRightInd w:val="0"/>
        <w:snapToGrid w:val="0"/>
        <w:spacing w:line="560" w:lineRule="exact"/>
        <w:ind w:left="0" w:right="0" w:firstLine="643" w:firstLineChars="200"/>
        <w:textAlignment w:val="auto"/>
        <w:outlineLvl w:val="2"/>
        <w:rPr>
          <w:rFonts w:hint="eastAsia" w:ascii="方正楷体_GBK" w:hAnsi="方正楷体_GBK" w:eastAsia="方正楷体_GBK" w:cs="方正楷体_GBK"/>
          <w:b/>
          <w:color w:val="000000"/>
          <w:sz w:val="32"/>
          <w:szCs w:val="32"/>
        </w:rPr>
      </w:pPr>
      <w:r>
        <w:rPr>
          <w:rFonts w:hint="eastAsia" w:ascii="方正楷体_GBK" w:hAnsi="方正楷体_GBK" w:eastAsia="方正楷体_GBK" w:cs="方正楷体_GBK"/>
          <w:b/>
          <w:color w:val="000000"/>
          <w:sz w:val="32"/>
          <w:szCs w:val="32"/>
        </w:rPr>
        <w:t>（二）一般公共预算财政拨款支出决算结构情况</w:t>
      </w:r>
      <w:bookmarkEnd w:id="47"/>
    </w:p>
    <w:p>
      <w:pPr>
        <w:keepNext w:val="0"/>
        <w:keepLines w:val="0"/>
        <w:pageBreakBefore w:val="0"/>
        <w:widowControl w:val="0"/>
        <w:kinsoku/>
        <w:wordWrap/>
        <w:overflowPunct/>
        <w:topLinePunct w:val="0"/>
        <w:bidi w:val="0"/>
        <w:adjustRightInd w:val="0"/>
        <w:snapToGrid w:val="0"/>
        <w:spacing w:line="560" w:lineRule="exact"/>
        <w:ind w:left="0" w:right="0" w:firstLine="64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年一般公共预算财</w:t>
      </w:r>
      <w:r>
        <w:rPr>
          <w:rFonts w:hint="eastAsia" w:ascii="仿宋_GB2312" w:hAnsi="仿宋_GB2312" w:eastAsia="仿宋_GB2312" w:cs="仿宋_GB2312"/>
          <w:color w:val="000000" w:themeColor="text1"/>
          <w:sz w:val="32"/>
          <w:szCs w:val="32"/>
          <w14:textFill>
            <w14:solidFill>
              <w14:schemeClr w14:val="tx1"/>
            </w14:solidFill>
          </w14:textFill>
        </w:rPr>
        <w:t>政拨款支出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13747.48</w:t>
      </w:r>
      <w:r>
        <w:rPr>
          <w:rFonts w:hint="eastAsia" w:ascii="仿宋_GB2312" w:hAnsi="仿宋_GB2312" w:eastAsia="仿宋_GB2312" w:cs="仿宋_GB2312"/>
          <w:color w:val="000000" w:themeColor="text1"/>
          <w:sz w:val="32"/>
          <w:szCs w:val="32"/>
          <w14:textFill>
            <w14:solidFill>
              <w14:schemeClr w14:val="tx1"/>
            </w14:solidFill>
          </w14:textFill>
        </w:rPr>
        <w:t>万元，主要用于以下方面:</w:t>
      </w:r>
      <w:r>
        <w:rPr>
          <w:rFonts w:hint="eastAsia" w:ascii="仿宋_GB2312" w:hAnsi="仿宋_GB2312" w:eastAsia="仿宋_GB2312" w:cs="仿宋_GB2312"/>
          <w:b/>
          <w:color w:val="000000" w:themeColor="text1"/>
          <w:sz w:val="32"/>
          <w:szCs w:val="32"/>
          <w14:textFill>
            <w14:solidFill>
              <w14:schemeClr w14:val="tx1"/>
            </w14:solidFill>
          </w14:textFill>
        </w:rPr>
        <w:t>一般公共服务</w:t>
      </w:r>
      <w:r>
        <w:rPr>
          <w:rFonts w:hint="eastAsia" w:ascii="仿宋_GB2312" w:hAnsi="仿宋_GB2312" w:eastAsia="仿宋_GB2312" w:cs="仿宋_GB2312"/>
          <w:b/>
          <w:bCs/>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325.95</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2.37</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教育支出</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9313.23</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67.74</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社会保障和就业</w:t>
      </w:r>
      <w:r>
        <w:rPr>
          <w:rFonts w:hint="eastAsia" w:ascii="仿宋_GB2312" w:hAnsi="仿宋_GB2312" w:eastAsia="仿宋_GB2312" w:cs="仿宋_GB2312"/>
          <w:b/>
          <w:bCs/>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720.84</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5.24</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卫生健康支出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137.08</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商业服务业等支出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1552.95万元，</w:t>
      </w:r>
      <w:r>
        <w:rPr>
          <w:rFonts w:hint="eastAsia" w:ascii="仿宋_GB2312" w:hAnsi="仿宋_GB2312" w:eastAsia="仿宋_GB2312" w:cs="仿宋_GB2312"/>
          <w:color w:val="000000" w:themeColor="text1"/>
          <w:sz w:val="32"/>
          <w:szCs w:val="32"/>
          <w14:textFill>
            <w14:solidFill>
              <w14:schemeClr w14:val="tx1"/>
            </w14:solidFill>
          </w14:textFill>
        </w:rPr>
        <w:t>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住房保障支出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282.43</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粮油物资储备</w:t>
      </w:r>
      <w:r>
        <w:rPr>
          <w:rFonts w:hint="eastAsia" w:ascii="仿宋_GB2312" w:hAnsi="仿宋_GB2312" w:eastAsia="仿宋_GB2312" w:cs="仿宋_GB2312"/>
          <w:b/>
          <w:bCs/>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1410</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10.26</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灾害防治及应急管理支出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14:textFill>
            <w14:solidFill>
              <w14:schemeClr w14:val="tx1"/>
            </w14:solidFill>
          </w14:textFill>
        </w:rPr>
        <w:t>万元，占</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0.04</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2"/>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pStyle w:val="2"/>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pStyle w:val="2"/>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bidi w:val="0"/>
        <w:adjustRightInd w:val="0"/>
        <w:snapToGrid w:val="0"/>
        <w:spacing w:line="560" w:lineRule="exact"/>
        <w:ind w:left="0" w:right="0" w:firstLine="420" w:firstLineChars="200"/>
        <w:textAlignment w:val="auto"/>
        <w:rPr>
          <w:rFonts w:hint="eastAsia" w:ascii="仿宋_GB2312" w:hAnsi="仿宋_GB2312" w:eastAsia="仿宋_GB2312" w:cs="仿宋_GB2312"/>
          <w:color w:val="000000"/>
          <w:sz w:val="32"/>
          <w:szCs w:val="32"/>
        </w:rPr>
      </w:pPr>
      <w:r>
        <w:drawing>
          <wp:anchor distT="0" distB="0" distL="114935" distR="114935" simplePos="0" relativeHeight="251663360" behindDoc="0" locked="0" layoutInCell="1" allowOverlap="1">
            <wp:simplePos x="0" y="0"/>
            <wp:positionH relativeFrom="column">
              <wp:posOffset>461645</wp:posOffset>
            </wp:positionH>
            <wp:positionV relativeFrom="page">
              <wp:posOffset>1545590</wp:posOffset>
            </wp:positionV>
            <wp:extent cx="4877435" cy="3050540"/>
            <wp:effectExtent l="6350" t="6350" r="8255" b="6350"/>
            <wp:wrapNone/>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keepNext w:val="0"/>
        <w:keepLines w:val="0"/>
        <w:pageBreakBefore w:val="0"/>
        <w:widowControl w:val="0"/>
        <w:kinsoku/>
        <w:wordWrap/>
        <w:overflowPunct/>
        <w:topLinePunct w:val="0"/>
        <w:bidi w:val="0"/>
        <w:adjustRightInd w:val="0"/>
        <w:snapToGrid w:val="0"/>
        <w:spacing w:line="560" w:lineRule="exact"/>
        <w:ind w:left="0" w:right="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bidi w:val="0"/>
        <w:adjustRightInd w:val="0"/>
        <w:snapToGrid w:val="0"/>
        <w:spacing w:line="560" w:lineRule="exact"/>
        <w:ind w:left="0" w:right="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bidi w:val="0"/>
        <w:adjustRightInd w:val="0"/>
        <w:snapToGrid w:val="0"/>
        <w:spacing w:line="560" w:lineRule="exact"/>
        <w:ind w:left="0" w:right="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bidi w:val="0"/>
        <w:adjustRightInd w:val="0"/>
        <w:snapToGrid w:val="0"/>
        <w:spacing w:line="560" w:lineRule="exact"/>
        <w:ind w:left="0" w:right="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bidi w:val="0"/>
        <w:adjustRightInd w:val="0"/>
        <w:snapToGrid w:val="0"/>
        <w:spacing w:line="560" w:lineRule="exact"/>
        <w:ind w:left="0" w:right="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bidi w:val="0"/>
        <w:adjustRightInd w:val="0"/>
        <w:snapToGrid w:val="0"/>
        <w:spacing w:line="560" w:lineRule="exact"/>
        <w:ind w:left="0" w:right="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bidi w:val="0"/>
        <w:adjustRightInd w:val="0"/>
        <w:snapToGrid w:val="0"/>
        <w:spacing w:line="560" w:lineRule="exact"/>
        <w:ind w:left="0" w:right="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bidi w:val="0"/>
        <w:adjustRightInd w:val="0"/>
        <w:snapToGrid w:val="0"/>
        <w:spacing w:line="560" w:lineRule="exact"/>
        <w:ind w:left="0" w:right="0"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bidi w:val="0"/>
        <w:adjustRightInd w:val="0"/>
        <w:snapToGrid w:val="0"/>
        <w:spacing w:line="560" w:lineRule="exact"/>
        <w:ind w:right="0"/>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right="0" w:firstLine="960" w:firstLineChars="3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图6：一般公共预算财政拨款支出决算结构</w:t>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textAlignment w:val="auto"/>
        <w:outlineLvl w:val="2"/>
        <w:rPr>
          <w:rFonts w:hint="eastAsia" w:ascii="方正楷体_GBK" w:hAnsi="方正楷体_GBK" w:eastAsia="方正楷体_GBK" w:cs="方正楷体_GBK"/>
          <w:b/>
          <w:color w:val="000000"/>
          <w:sz w:val="32"/>
          <w:szCs w:val="32"/>
        </w:rPr>
      </w:pPr>
      <w:bookmarkStart w:id="48" w:name="_Toc15377212"/>
      <w:r>
        <w:rPr>
          <w:rFonts w:hint="eastAsia" w:ascii="方正楷体_GBK" w:hAnsi="方正楷体_GBK" w:eastAsia="方正楷体_GBK" w:cs="方正楷体_GBK"/>
          <w:b/>
          <w:color w:val="000000"/>
          <w:sz w:val="32"/>
          <w:szCs w:val="32"/>
        </w:rPr>
        <w:t>（三）一般公共预算财政拨款支出决算具体情况</w:t>
      </w:r>
      <w:bookmarkEnd w:id="48"/>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textAlignment w:val="auto"/>
        <w:outlineLvl w:val="2"/>
        <w:rPr>
          <w:rFonts w:hint="eastAsia" w:ascii="仿宋_GB2312" w:hAnsi="仿宋_GB2312" w:eastAsia="仿宋_GB2312" w:cs="仿宋_GB2312"/>
          <w:color w:val="FF0000"/>
          <w:sz w:val="32"/>
          <w:szCs w:val="32"/>
        </w:rPr>
      </w:pPr>
      <w:bookmarkStart w:id="49" w:name="_Toc15378460"/>
      <w:bookmarkStart w:id="50" w:name="_Toc15377213"/>
      <w:bookmarkStart w:id="51" w:name="_Toc15377444"/>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b/>
          <w:color w:val="000000" w:themeColor="text1"/>
          <w:sz w:val="32"/>
          <w:szCs w:val="32"/>
          <w14:textFill>
            <w14:solidFill>
              <w14:schemeClr w14:val="tx1"/>
            </w14:solidFill>
          </w14:textFill>
        </w:rPr>
        <w:t>年</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b/>
          <w:color w:val="000000" w:themeColor="text1"/>
          <w:sz w:val="32"/>
          <w:szCs w:val="32"/>
          <w14:textFill>
            <w14:solidFill>
              <w14:schemeClr w14:val="tx1"/>
            </w14:solidFill>
          </w14:textFill>
        </w:rPr>
        <w:t>般公共预算支出决算数为</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13747.48万元</w:t>
      </w:r>
      <w:r>
        <w:rPr>
          <w:rFonts w:hint="eastAsia" w:ascii="仿宋_GB2312" w:hAnsi="仿宋_GB2312" w:eastAsia="仿宋_GB2312" w:cs="仿宋_GB2312"/>
          <w:color w:val="000000" w:themeColor="text1"/>
          <w:sz w:val="32"/>
          <w:szCs w:val="32"/>
          <w14:textFill>
            <w14:solidFill>
              <w14:schemeClr w14:val="tx1"/>
            </w14:solidFill>
          </w14:textFill>
        </w:rPr>
        <w:t>，</w:t>
      </w:r>
      <w:r>
        <w:rPr>
          <w:rStyle w:val="16"/>
          <w:rFonts w:hint="eastAsia" w:ascii="仿宋_GB2312" w:hAnsi="仿宋_GB2312" w:eastAsia="仿宋_GB2312" w:cs="仿宋_GB2312"/>
          <w:bCs/>
          <w:color w:val="000000" w:themeColor="text1"/>
          <w:sz w:val="32"/>
          <w:szCs w:val="32"/>
          <w14:textFill>
            <w14:solidFill>
              <w14:schemeClr w14:val="tx1"/>
            </w14:solidFill>
          </w14:textFill>
        </w:rPr>
        <w:t>完成</w:t>
      </w:r>
      <w:r>
        <w:rPr>
          <w:rStyle w:val="16"/>
          <w:rFonts w:hint="eastAsia" w:ascii="仿宋_GB2312" w:hAnsi="仿宋_GB2312" w:eastAsia="仿宋_GB2312" w:cs="仿宋_GB2312"/>
          <w:bCs/>
          <w:color w:val="000000"/>
          <w:sz w:val="32"/>
          <w:szCs w:val="32"/>
        </w:rPr>
        <w:t>预算</w:t>
      </w:r>
      <w:r>
        <w:rPr>
          <w:rStyle w:val="16"/>
          <w:rFonts w:hint="eastAsia" w:ascii="仿宋_GB2312" w:hAnsi="仿宋_GB2312" w:eastAsia="仿宋_GB2312" w:cs="仿宋_GB2312"/>
          <w:bCs/>
          <w:color w:val="000000"/>
          <w:sz w:val="32"/>
          <w:szCs w:val="32"/>
          <w:lang w:val="en-US" w:eastAsia="zh-CN"/>
        </w:rPr>
        <w:t>87.19</w:t>
      </w:r>
      <w:r>
        <w:rPr>
          <w:rStyle w:val="16"/>
          <w:rFonts w:hint="eastAsia" w:ascii="仿宋_GB2312" w:hAnsi="仿宋_GB2312" w:eastAsia="仿宋_GB2312" w:cs="仿宋_GB2312"/>
          <w:bCs/>
          <w:color w:val="000000"/>
          <w:sz w:val="32"/>
          <w:szCs w:val="32"/>
        </w:rPr>
        <w:t>%。其中：</w:t>
      </w:r>
      <w:bookmarkEnd w:id="49"/>
      <w:bookmarkEnd w:id="50"/>
      <w:bookmarkEnd w:id="51"/>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3" w:firstLineChars="200"/>
        <w:textAlignment w:val="auto"/>
        <w:rPr>
          <w:rStyle w:val="16"/>
          <w:rFonts w:hint="eastAsia" w:ascii="仿宋_GB2312" w:hAnsi="仿宋_GB2312" w:eastAsia="仿宋_GB2312" w:cs="仿宋_GB2312"/>
          <w:b w:val="0"/>
          <w:bCs/>
          <w:color w:val="000000"/>
          <w:sz w:val="32"/>
          <w:szCs w:val="32"/>
          <w:lang w:eastAsia="zh-CN"/>
        </w:rPr>
      </w:pPr>
      <w:r>
        <w:rPr>
          <w:rStyle w:val="16"/>
          <w:rFonts w:hint="eastAsia" w:ascii="仿宋_GB2312" w:hAnsi="仿宋_GB2312" w:eastAsia="仿宋_GB2312" w:cs="仿宋_GB2312"/>
          <w:bCs/>
          <w:color w:val="000000"/>
          <w:sz w:val="32"/>
          <w:szCs w:val="32"/>
          <w:lang w:val="en-US" w:eastAsia="zh-CN"/>
        </w:rPr>
        <w:t>1.</w:t>
      </w:r>
      <w:r>
        <w:rPr>
          <w:rStyle w:val="16"/>
          <w:rFonts w:hint="eastAsia" w:ascii="仿宋_GB2312" w:hAnsi="仿宋_GB2312" w:eastAsia="仿宋_GB2312" w:cs="仿宋_GB2312"/>
          <w:bCs/>
          <w:color w:val="000000"/>
          <w:sz w:val="32"/>
          <w:szCs w:val="32"/>
        </w:rPr>
        <w:t>一般公共服务</w:t>
      </w:r>
      <w:r>
        <w:rPr>
          <w:rStyle w:val="16"/>
          <w:rFonts w:hint="eastAsia" w:ascii="仿宋_GB2312" w:hAnsi="仿宋_GB2312" w:eastAsia="仿宋_GB2312" w:cs="仿宋_GB2312"/>
          <w:bCs/>
          <w:color w:val="000000"/>
          <w:sz w:val="32"/>
          <w:szCs w:val="32"/>
          <w:lang w:val="en-US" w:eastAsia="zh-CN"/>
        </w:rPr>
        <w:t>支出</w:t>
      </w:r>
      <w:r>
        <w:rPr>
          <w:rStyle w:val="16"/>
          <w:rFonts w:hint="eastAsia" w:ascii="仿宋_GB2312" w:hAnsi="仿宋_GB2312" w:eastAsia="仿宋_GB2312" w:cs="仿宋_GB2312"/>
          <w:bCs/>
          <w:color w:val="000000"/>
          <w:sz w:val="32"/>
          <w:szCs w:val="32"/>
        </w:rPr>
        <w:t>（类）</w:t>
      </w:r>
      <w:r>
        <w:rPr>
          <w:rStyle w:val="16"/>
          <w:rFonts w:hint="eastAsia" w:ascii="仿宋_GB2312" w:hAnsi="仿宋_GB2312" w:eastAsia="仿宋_GB2312" w:cs="仿宋_GB2312"/>
          <w:bCs/>
          <w:color w:val="000000"/>
          <w:sz w:val="32"/>
          <w:szCs w:val="32"/>
          <w:lang w:val="en-US" w:eastAsia="zh-CN"/>
        </w:rPr>
        <w:t>商贸事务</w:t>
      </w:r>
      <w:r>
        <w:rPr>
          <w:rStyle w:val="16"/>
          <w:rFonts w:hint="eastAsia" w:ascii="仿宋_GB2312" w:hAnsi="仿宋_GB2312" w:eastAsia="仿宋_GB2312" w:cs="仿宋_GB2312"/>
          <w:bCs/>
          <w:color w:val="000000"/>
          <w:sz w:val="32"/>
          <w:szCs w:val="32"/>
        </w:rPr>
        <w:t>（款）</w:t>
      </w:r>
      <w:r>
        <w:rPr>
          <w:rStyle w:val="16"/>
          <w:rFonts w:hint="eastAsia" w:ascii="仿宋_GB2312" w:hAnsi="仿宋_GB2312" w:eastAsia="仿宋_GB2312" w:cs="仿宋_GB2312"/>
          <w:bCs/>
          <w:color w:val="000000"/>
          <w:sz w:val="32"/>
          <w:szCs w:val="32"/>
          <w:lang w:val="en-US" w:eastAsia="zh-CN"/>
        </w:rPr>
        <w:t>行政运行</w:t>
      </w:r>
      <w:r>
        <w:rPr>
          <w:rStyle w:val="16"/>
          <w:rFonts w:hint="eastAsia" w:ascii="仿宋_GB2312" w:hAnsi="仿宋_GB2312" w:eastAsia="仿宋_GB2312" w:cs="仿宋_GB2312"/>
          <w:bCs/>
          <w:color w:val="000000"/>
          <w:sz w:val="32"/>
          <w:szCs w:val="32"/>
        </w:rPr>
        <w:t>（项）:</w:t>
      </w:r>
      <w:r>
        <w:rPr>
          <w:rStyle w:val="16"/>
          <w:rFonts w:hint="eastAsia" w:ascii="仿宋_GB2312" w:hAnsi="仿宋_GB2312" w:eastAsia="仿宋_GB2312" w:cs="仿宋_GB2312"/>
          <w:b w:val="0"/>
          <w:bCs/>
          <w:color w:val="000000"/>
          <w:sz w:val="32"/>
          <w:szCs w:val="32"/>
        </w:rPr>
        <w:t xml:space="preserve"> 支出决算为</w:t>
      </w:r>
      <w:r>
        <w:rPr>
          <w:rStyle w:val="16"/>
          <w:rFonts w:hint="eastAsia" w:ascii="仿宋_GB2312" w:hAnsi="仿宋_GB2312" w:eastAsia="仿宋_GB2312" w:cs="仿宋_GB2312"/>
          <w:b w:val="0"/>
          <w:bCs/>
          <w:color w:val="000000"/>
          <w:sz w:val="32"/>
          <w:szCs w:val="32"/>
          <w:lang w:val="en-US" w:eastAsia="zh-CN"/>
        </w:rPr>
        <w:t>291.45</w:t>
      </w:r>
      <w:r>
        <w:rPr>
          <w:rStyle w:val="16"/>
          <w:rFonts w:hint="eastAsia" w:ascii="仿宋_GB2312" w:hAnsi="仿宋_GB2312" w:eastAsia="仿宋_GB2312" w:cs="仿宋_GB2312"/>
          <w:b w:val="0"/>
          <w:bCs/>
          <w:color w:val="000000"/>
          <w:sz w:val="32"/>
          <w:szCs w:val="32"/>
        </w:rPr>
        <w:t>万元，</w:t>
      </w:r>
      <w:r>
        <w:rPr>
          <w:rStyle w:val="16"/>
          <w:rFonts w:hint="eastAsia" w:ascii="仿宋_GB2312" w:hAnsi="仿宋_GB2312" w:eastAsia="仿宋_GB2312" w:cs="仿宋_GB2312"/>
          <w:b w:val="0"/>
          <w:bCs/>
          <w:color w:val="000000"/>
          <w:sz w:val="32"/>
          <w:szCs w:val="32"/>
          <w:lang w:val="en-US" w:eastAsia="zh-CN"/>
        </w:rPr>
        <w:t>与预算数持平</w:t>
      </w:r>
      <w:r>
        <w:rPr>
          <w:rStyle w:val="16"/>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3" w:firstLineChars="200"/>
        <w:textAlignment w:val="auto"/>
        <w:rPr>
          <w:rStyle w:val="16"/>
          <w:rFonts w:hint="eastAsia" w:ascii="仿宋_GB2312" w:hAnsi="仿宋_GB2312" w:eastAsia="仿宋_GB2312" w:cs="仿宋_GB2312"/>
          <w:b w:val="0"/>
          <w:bCs/>
          <w:color w:val="000000"/>
          <w:sz w:val="32"/>
          <w:szCs w:val="32"/>
          <w:lang w:eastAsia="zh-CN"/>
        </w:rPr>
      </w:pPr>
      <w:r>
        <w:rPr>
          <w:rStyle w:val="16"/>
          <w:rFonts w:hint="eastAsia" w:ascii="仿宋_GB2312" w:hAnsi="仿宋_GB2312" w:eastAsia="仿宋_GB2312" w:cs="仿宋_GB2312"/>
          <w:bCs/>
          <w:color w:val="000000"/>
          <w:sz w:val="32"/>
          <w:szCs w:val="32"/>
          <w:lang w:val="en-US" w:eastAsia="zh-CN"/>
        </w:rPr>
        <w:t>2.</w:t>
      </w:r>
      <w:r>
        <w:rPr>
          <w:rStyle w:val="16"/>
          <w:rFonts w:hint="eastAsia" w:ascii="仿宋_GB2312" w:hAnsi="仿宋_GB2312" w:eastAsia="仿宋_GB2312" w:cs="仿宋_GB2312"/>
          <w:bCs/>
          <w:color w:val="000000"/>
          <w:sz w:val="32"/>
          <w:szCs w:val="32"/>
        </w:rPr>
        <w:t>一般公共服务</w:t>
      </w:r>
      <w:r>
        <w:rPr>
          <w:rStyle w:val="16"/>
          <w:rFonts w:hint="eastAsia" w:ascii="仿宋_GB2312" w:hAnsi="仿宋_GB2312" w:eastAsia="仿宋_GB2312" w:cs="仿宋_GB2312"/>
          <w:bCs/>
          <w:color w:val="000000"/>
          <w:sz w:val="32"/>
          <w:szCs w:val="32"/>
          <w:lang w:val="en-US" w:eastAsia="zh-CN"/>
        </w:rPr>
        <w:t>支出</w:t>
      </w:r>
      <w:r>
        <w:rPr>
          <w:rStyle w:val="16"/>
          <w:rFonts w:hint="eastAsia" w:ascii="仿宋_GB2312" w:hAnsi="仿宋_GB2312" w:eastAsia="仿宋_GB2312" w:cs="仿宋_GB2312"/>
          <w:bCs/>
          <w:color w:val="000000"/>
          <w:sz w:val="32"/>
          <w:szCs w:val="32"/>
        </w:rPr>
        <w:t>（类）</w:t>
      </w:r>
      <w:r>
        <w:rPr>
          <w:rStyle w:val="16"/>
          <w:rFonts w:hint="eastAsia" w:ascii="仿宋_GB2312" w:hAnsi="仿宋_GB2312" w:eastAsia="仿宋_GB2312" w:cs="仿宋_GB2312"/>
          <w:bCs/>
          <w:color w:val="000000"/>
          <w:sz w:val="32"/>
          <w:szCs w:val="32"/>
          <w:lang w:val="en-US" w:eastAsia="zh-CN"/>
        </w:rPr>
        <w:t>其他一般公共服务支出</w:t>
      </w:r>
      <w:r>
        <w:rPr>
          <w:rStyle w:val="16"/>
          <w:rFonts w:hint="eastAsia" w:ascii="仿宋_GB2312" w:hAnsi="仿宋_GB2312" w:eastAsia="仿宋_GB2312" w:cs="仿宋_GB2312"/>
          <w:bCs/>
          <w:color w:val="000000"/>
          <w:sz w:val="32"/>
          <w:szCs w:val="32"/>
        </w:rPr>
        <w:t>（款）</w:t>
      </w:r>
      <w:r>
        <w:rPr>
          <w:rStyle w:val="16"/>
          <w:rFonts w:hint="eastAsia" w:ascii="仿宋_GB2312" w:hAnsi="仿宋_GB2312" w:eastAsia="仿宋_GB2312" w:cs="仿宋_GB2312"/>
          <w:bCs/>
          <w:color w:val="000000"/>
          <w:sz w:val="32"/>
          <w:szCs w:val="32"/>
          <w:lang w:val="en-US" w:eastAsia="zh-CN"/>
        </w:rPr>
        <w:t>其他一般公共服务支出</w:t>
      </w:r>
      <w:r>
        <w:rPr>
          <w:rStyle w:val="16"/>
          <w:rFonts w:hint="eastAsia" w:ascii="仿宋_GB2312" w:hAnsi="仿宋_GB2312" w:eastAsia="仿宋_GB2312" w:cs="仿宋_GB2312"/>
          <w:bCs/>
          <w:color w:val="000000"/>
          <w:sz w:val="32"/>
          <w:szCs w:val="32"/>
          <w:lang w:eastAsia="zh-CN"/>
        </w:rPr>
        <w:t>（</w:t>
      </w:r>
      <w:r>
        <w:rPr>
          <w:rStyle w:val="16"/>
          <w:rFonts w:hint="eastAsia" w:ascii="仿宋_GB2312" w:hAnsi="仿宋_GB2312" w:eastAsia="仿宋_GB2312" w:cs="仿宋_GB2312"/>
          <w:bCs/>
          <w:color w:val="000000"/>
          <w:sz w:val="32"/>
          <w:szCs w:val="32"/>
        </w:rPr>
        <w:t>项）</w:t>
      </w:r>
      <w:r>
        <w:rPr>
          <w:rStyle w:val="16"/>
          <w:rFonts w:hint="eastAsia" w:ascii="仿宋_GB2312" w:hAnsi="仿宋_GB2312" w:eastAsia="仿宋_GB2312" w:cs="仿宋_GB2312"/>
          <w:b w:val="0"/>
          <w:bCs/>
          <w:color w:val="000000"/>
          <w:sz w:val="32"/>
          <w:szCs w:val="32"/>
        </w:rPr>
        <w:t>支出决算为</w:t>
      </w:r>
      <w:r>
        <w:rPr>
          <w:rStyle w:val="16"/>
          <w:rFonts w:hint="eastAsia" w:ascii="仿宋_GB2312" w:hAnsi="仿宋_GB2312" w:eastAsia="仿宋_GB2312" w:cs="仿宋_GB2312"/>
          <w:b w:val="0"/>
          <w:bCs/>
          <w:color w:val="000000"/>
          <w:sz w:val="32"/>
          <w:szCs w:val="32"/>
          <w:lang w:val="en-US" w:eastAsia="zh-CN"/>
        </w:rPr>
        <w:t>34.5</w:t>
      </w:r>
      <w:r>
        <w:rPr>
          <w:rStyle w:val="16"/>
          <w:rFonts w:hint="eastAsia" w:ascii="仿宋_GB2312" w:hAnsi="仿宋_GB2312" w:eastAsia="仿宋_GB2312" w:cs="仿宋_GB2312"/>
          <w:b w:val="0"/>
          <w:bCs/>
          <w:color w:val="000000"/>
          <w:sz w:val="32"/>
          <w:szCs w:val="32"/>
        </w:rPr>
        <w:t>万元，</w:t>
      </w:r>
      <w:r>
        <w:rPr>
          <w:rStyle w:val="16"/>
          <w:rFonts w:hint="eastAsia" w:ascii="仿宋_GB2312" w:hAnsi="仿宋_GB2312" w:eastAsia="仿宋_GB2312" w:cs="仿宋_GB2312"/>
          <w:b w:val="0"/>
          <w:bCs/>
          <w:color w:val="000000"/>
          <w:sz w:val="32"/>
          <w:szCs w:val="32"/>
          <w:lang w:val="en-US" w:eastAsia="zh-CN"/>
        </w:rPr>
        <w:t>与预算数持平</w:t>
      </w:r>
      <w:r>
        <w:rPr>
          <w:rStyle w:val="16"/>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3" w:firstLineChars="200"/>
        <w:textAlignment w:val="auto"/>
        <w:rPr>
          <w:rStyle w:val="16"/>
          <w:rFonts w:hint="default" w:ascii="仿宋_GB2312" w:hAnsi="仿宋_GB2312" w:eastAsia="仿宋_GB2312" w:cs="仿宋_GB2312"/>
          <w:b w:val="0"/>
          <w:bCs/>
          <w:color w:val="000000"/>
          <w:sz w:val="32"/>
          <w:szCs w:val="32"/>
          <w:lang w:val="en-US" w:eastAsia="zh-CN"/>
        </w:rPr>
      </w:pPr>
      <w:r>
        <w:rPr>
          <w:rStyle w:val="16"/>
          <w:rFonts w:hint="eastAsia" w:ascii="仿宋_GB2312" w:hAnsi="仿宋_GB2312" w:eastAsia="仿宋_GB2312" w:cs="仿宋_GB2312"/>
          <w:bCs/>
          <w:color w:val="000000"/>
          <w:sz w:val="32"/>
          <w:szCs w:val="32"/>
          <w:lang w:val="en-US" w:eastAsia="zh-CN"/>
        </w:rPr>
        <w:t>3.</w:t>
      </w:r>
      <w:r>
        <w:rPr>
          <w:rStyle w:val="16"/>
          <w:rFonts w:hint="eastAsia" w:ascii="仿宋_GB2312" w:hAnsi="仿宋_GB2312" w:eastAsia="仿宋_GB2312" w:cs="仿宋_GB2312"/>
          <w:bCs/>
          <w:color w:val="000000"/>
          <w:sz w:val="32"/>
          <w:szCs w:val="32"/>
        </w:rPr>
        <w:t>教育</w:t>
      </w:r>
      <w:r>
        <w:rPr>
          <w:rStyle w:val="16"/>
          <w:rFonts w:hint="eastAsia" w:ascii="仿宋_GB2312" w:hAnsi="仿宋_GB2312" w:eastAsia="仿宋_GB2312" w:cs="仿宋_GB2312"/>
          <w:bCs/>
          <w:color w:val="000000"/>
          <w:sz w:val="32"/>
          <w:szCs w:val="32"/>
          <w:lang w:val="en-US" w:eastAsia="zh-CN"/>
        </w:rPr>
        <w:t>支出</w:t>
      </w:r>
      <w:r>
        <w:rPr>
          <w:rStyle w:val="16"/>
          <w:rFonts w:hint="eastAsia" w:ascii="仿宋_GB2312" w:hAnsi="仿宋_GB2312" w:eastAsia="仿宋_GB2312" w:cs="仿宋_GB2312"/>
          <w:bCs/>
          <w:color w:val="000000"/>
          <w:sz w:val="32"/>
          <w:szCs w:val="32"/>
        </w:rPr>
        <w:t>（类）</w:t>
      </w:r>
      <w:r>
        <w:rPr>
          <w:rStyle w:val="16"/>
          <w:rFonts w:hint="eastAsia" w:ascii="仿宋_GB2312" w:hAnsi="仿宋_GB2312" w:eastAsia="仿宋_GB2312" w:cs="仿宋_GB2312"/>
          <w:bCs/>
          <w:color w:val="000000"/>
          <w:sz w:val="32"/>
          <w:szCs w:val="32"/>
          <w:lang w:val="en-US" w:eastAsia="zh-CN"/>
        </w:rPr>
        <w:t>职业教育</w:t>
      </w:r>
      <w:r>
        <w:rPr>
          <w:rStyle w:val="16"/>
          <w:rFonts w:hint="eastAsia" w:ascii="仿宋_GB2312" w:hAnsi="仿宋_GB2312" w:eastAsia="仿宋_GB2312" w:cs="仿宋_GB2312"/>
          <w:bCs/>
          <w:color w:val="000000"/>
          <w:sz w:val="32"/>
          <w:szCs w:val="32"/>
        </w:rPr>
        <w:t>（款）</w:t>
      </w:r>
      <w:r>
        <w:rPr>
          <w:rStyle w:val="16"/>
          <w:rFonts w:hint="eastAsia" w:ascii="仿宋_GB2312" w:hAnsi="仿宋_GB2312" w:eastAsia="仿宋_GB2312" w:cs="仿宋_GB2312"/>
          <w:bCs/>
          <w:color w:val="000000"/>
          <w:sz w:val="32"/>
          <w:szCs w:val="32"/>
          <w:lang w:val="en-US" w:eastAsia="zh-CN"/>
        </w:rPr>
        <w:t>中等职业教育（</w:t>
      </w:r>
      <w:r>
        <w:rPr>
          <w:rStyle w:val="16"/>
          <w:rFonts w:hint="eastAsia" w:ascii="仿宋_GB2312" w:hAnsi="仿宋_GB2312" w:eastAsia="仿宋_GB2312" w:cs="仿宋_GB2312"/>
          <w:bCs/>
          <w:color w:val="000000"/>
          <w:sz w:val="32"/>
          <w:szCs w:val="32"/>
        </w:rPr>
        <w:t>项）:</w:t>
      </w:r>
      <w:r>
        <w:rPr>
          <w:rStyle w:val="16"/>
          <w:rFonts w:hint="eastAsia" w:ascii="仿宋_GB2312" w:hAnsi="仿宋_GB2312" w:eastAsia="仿宋_GB2312" w:cs="仿宋_GB2312"/>
          <w:b w:val="0"/>
          <w:bCs/>
          <w:color w:val="000000"/>
          <w:sz w:val="32"/>
          <w:szCs w:val="32"/>
        </w:rPr>
        <w:t xml:space="preserve"> 支出决算为</w:t>
      </w:r>
      <w:r>
        <w:rPr>
          <w:rStyle w:val="16"/>
          <w:rFonts w:hint="eastAsia" w:ascii="仿宋_GB2312" w:hAnsi="仿宋_GB2312" w:eastAsia="仿宋_GB2312" w:cs="仿宋_GB2312"/>
          <w:b w:val="0"/>
          <w:bCs/>
          <w:color w:val="000000"/>
          <w:sz w:val="32"/>
          <w:szCs w:val="32"/>
          <w:lang w:val="en-US" w:eastAsia="zh-CN"/>
        </w:rPr>
        <w:t>8366.09</w:t>
      </w:r>
      <w:r>
        <w:rPr>
          <w:rStyle w:val="16"/>
          <w:rFonts w:hint="eastAsia" w:ascii="仿宋_GB2312" w:hAnsi="仿宋_GB2312" w:eastAsia="仿宋_GB2312" w:cs="仿宋_GB2312"/>
          <w:b w:val="0"/>
          <w:bCs/>
          <w:color w:val="000000"/>
          <w:sz w:val="32"/>
          <w:szCs w:val="32"/>
        </w:rPr>
        <w:t>万元，</w:t>
      </w:r>
      <w:r>
        <w:rPr>
          <w:rStyle w:val="16"/>
          <w:rFonts w:hint="eastAsia" w:ascii="仿宋_GB2312" w:hAnsi="仿宋_GB2312" w:eastAsia="仿宋_GB2312" w:cs="仿宋_GB2312"/>
          <w:b w:val="0"/>
          <w:bCs/>
          <w:color w:val="000000"/>
          <w:sz w:val="32"/>
          <w:szCs w:val="32"/>
          <w:lang w:val="en-US" w:eastAsia="zh-CN"/>
        </w:rPr>
        <w:t>完成预算的93.65%，决算数小于预算数的主要原因是四川省贸易学校“现代职业教育质量提升计划”专项400万元下达时间晚，无法实施，年底财政收回；</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textAlignment w:val="auto"/>
        <w:rPr>
          <w:rStyle w:val="16"/>
          <w:rFonts w:hint="default" w:ascii="仿宋_GB2312" w:hAnsi="仿宋_GB2312" w:eastAsia="仿宋_GB2312" w:cs="仿宋_GB2312"/>
          <w:b w:val="0"/>
          <w:bCs/>
          <w:color w:val="000000"/>
          <w:sz w:val="32"/>
          <w:szCs w:val="32"/>
          <w:lang w:val="en-US" w:eastAsia="zh-CN"/>
        </w:rPr>
      </w:pPr>
      <w:r>
        <w:rPr>
          <w:rStyle w:val="16"/>
          <w:rFonts w:hint="eastAsia" w:ascii="仿宋_GB2312" w:hAnsi="仿宋_GB2312" w:eastAsia="仿宋_GB2312" w:cs="仿宋_GB2312"/>
          <w:bCs/>
          <w:color w:val="000000"/>
          <w:sz w:val="32"/>
          <w:szCs w:val="32"/>
          <w:lang w:val="en-US" w:eastAsia="zh-CN"/>
        </w:rPr>
        <w:t>4.</w:t>
      </w:r>
      <w:r>
        <w:rPr>
          <w:rStyle w:val="16"/>
          <w:rFonts w:hint="eastAsia" w:ascii="仿宋_GB2312" w:hAnsi="仿宋_GB2312" w:eastAsia="仿宋_GB2312" w:cs="仿宋_GB2312"/>
          <w:bCs/>
          <w:color w:val="000000"/>
          <w:sz w:val="32"/>
          <w:szCs w:val="32"/>
        </w:rPr>
        <w:t>教育</w:t>
      </w:r>
      <w:r>
        <w:rPr>
          <w:rStyle w:val="16"/>
          <w:rFonts w:hint="eastAsia" w:ascii="仿宋_GB2312" w:hAnsi="仿宋_GB2312" w:eastAsia="仿宋_GB2312" w:cs="仿宋_GB2312"/>
          <w:bCs/>
          <w:color w:val="000000"/>
          <w:sz w:val="32"/>
          <w:szCs w:val="32"/>
          <w:lang w:val="en-US" w:eastAsia="zh-CN"/>
        </w:rPr>
        <w:t>支出</w:t>
      </w:r>
      <w:r>
        <w:rPr>
          <w:rStyle w:val="16"/>
          <w:rFonts w:hint="eastAsia" w:ascii="仿宋_GB2312" w:hAnsi="仿宋_GB2312" w:eastAsia="仿宋_GB2312" w:cs="仿宋_GB2312"/>
          <w:bCs/>
          <w:color w:val="000000"/>
          <w:sz w:val="32"/>
          <w:szCs w:val="32"/>
        </w:rPr>
        <w:t>（类）</w:t>
      </w:r>
      <w:r>
        <w:rPr>
          <w:rStyle w:val="16"/>
          <w:rFonts w:hint="eastAsia" w:ascii="仿宋_GB2312" w:hAnsi="仿宋_GB2312" w:eastAsia="仿宋_GB2312" w:cs="仿宋_GB2312"/>
          <w:bCs/>
          <w:color w:val="000000"/>
          <w:sz w:val="32"/>
          <w:szCs w:val="32"/>
          <w:lang w:val="en-US" w:eastAsia="zh-CN"/>
        </w:rPr>
        <w:t>职业教育</w:t>
      </w:r>
      <w:r>
        <w:rPr>
          <w:rStyle w:val="16"/>
          <w:rFonts w:hint="eastAsia" w:ascii="仿宋_GB2312" w:hAnsi="仿宋_GB2312" w:eastAsia="仿宋_GB2312" w:cs="仿宋_GB2312"/>
          <w:bCs/>
          <w:color w:val="000000"/>
          <w:sz w:val="32"/>
          <w:szCs w:val="32"/>
        </w:rPr>
        <w:t>（款）</w:t>
      </w:r>
      <w:r>
        <w:rPr>
          <w:rStyle w:val="16"/>
          <w:rFonts w:hint="eastAsia" w:ascii="仿宋_GB2312" w:hAnsi="仿宋_GB2312" w:eastAsia="仿宋_GB2312" w:cs="仿宋_GB2312"/>
          <w:bCs/>
          <w:color w:val="000000"/>
          <w:sz w:val="32"/>
          <w:szCs w:val="32"/>
          <w:lang w:val="en-US" w:eastAsia="zh-CN"/>
        </w:rPr>
        <w:t>高等职业教育（</w:t>
      </w:r>
      <w:r>
        <w:rPr>
          <w:rStyle w:val="16"/>
          <w:rFonts w:hint="eastAsia" w:ascii="仿宋_GB2312" w:hAnsi="仿宋_GB2312" w:eastAsia="仿宋_GB2312" w:cs="仿宋_GB2312"/>
          <w:bCs/>
          <w:color w:val="000000"/>
          <w:sz w:val="32"/>
          <w:szCs w:val="32"/>
        </w:rPr>
        <w:t>项）:</w:t>
      </w:r>
      <w:r>
        <w:rPr>
          <w:rStyle w:val="16"/>
          <w:rFonts w:hint="eastAsia" w:ascii="仿宋_GB2312" w:hAnsi="仿宋_GB2312" w:eastAsia="仿宋_GB2312" w:cs="仿宋_GB2312"/>
          <w:b w:val="0"/>
          <w:bCs/>
          <w:color w:val="000000"/>
          <w:sz w:val="32"/>
          <w:szCs w:val="32"/>
        </w:rPr>
        <w:t xml:space="preserve"> 支出决算为</w:t>
      </w:r>
      <w:r>
        <w:rPr>
          <w:rStyle w:val="16"/>
          <w:rFonts w:hint="eastAsia" w:ascii="仿宋_GB2312" w:hAnsi="仿宋_GB2312" w:eastAsia="仿宋_GB2312" w:cs="仿宋_GB2312"/>
          <w:b w:val="0"/>
          <w:bCs/>
          <w:color w:val="000000"/>
          <w:sz w:val="32"/>
          <w:szCs w:val="32"/>
          <w:lang w:val="en-US" w:eastAsia="zh-CN"/>
        </w:rPr>
        <w:t>99</w:t>
      </w:r>
      <w:r>
        <w:rPr>
          <w:rStyle w:val="16"/>
          <w:rFonts w:hint="eastAsia" w:ascii="仿宋_GB2312" w:hAnsi="仿宋_GB2312" w:eastAsia="仿宋_GB2312" w:cs="仿宋_GB2312"/>
          <w:b w:val="0"/>
          <w:bCs/>
          <w:color w:val="000000"/>
          <w:sz w:val="32"/>
          <w:szCs w:val="32"/>
        </w:rPr>
        <w:t>万元，</w:t>
      </w:r>
      <w:r>
        <w:rPr>
          <w:rStyle w:val="16"/>
          <w:rFonts w:hint="eastAsia" w:ascii="仿宋_GB2312" w:hAnsi="仿宋_GB2312" w:eastAsia="仿宋_GB2312" w:cs="仿宋_GB2312"/>
          <w:b w:val="0"/>
          <w:bCs/>
          <w:color w:val="000000"/>
          <w:sz w:val="32"/>
          <w:szCs w:val="32"/>
          <w:lang w:val="en-US" w:eastAsia="zh-CN"/>
        </w:rPr>
        <w:t>完成预算的90%，决算数小于预算数的主要原因是四川省贸易学校“教学仪器设备购置经费”10万元当年未使用，年底财政收回；</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textAlignment w:val="auto"/>
        <w:rPr>
          <w:rStyle w:val="16"/>
          <w:rFonts w:hint="eastAsia" w:ascii="仿宋_GB2312" w:hAnsi="仿宋_GB2312" w:eastAsia="仿宋_GB2312" w:cs="仿宋_GB2312"/>
          <w:b w:val="0"/>
          <w:bCs/>
          <w:color w:val="000000"/>
          <w:sz w:val="32"/>
          <w:szCs w:val="32"/>
          <w:lang w:eastAsia="zh-CN"/>
        </w:rPr>
      </w:pPr>
      <w:r>
        <w:rPr>
          <w:rStyle w:val="16"/>
          <w:rFonts w:hint="eastAsia" w:ascii="仿宋_GB2312" w:hAnsi="仿宋_GB2312" w:eastAsia="仿宋_GB2312" w:cs="仿宋_GB2312"/>
          <w:bCs/>
          <w:color w:val="000000"/>
          <w:sz w:val="32"/>
          <w:szCs w:val="32"/>
          <w:lang w:val="en-US" w:eastAsia="zh-CN"/>
        </w:rPr>
        <w:t>5.</w:t>
      </w:r>
      <w:r>
        <w:rPr>
          <w:rStyle w:val="16"/>
          <w:rFonts w:hint="eastAsia" w:ascii="仿宋_GB2312" w:hAnsi="仿宋_GB2312" w:eastAsia="仿宋_GB2312" w:cs="仿宋_GB2312"/>
          <w:bCs/>
          <w:color w:val="000000"/>
          <w:sz w:val="32"/>
          <w:szCs w:val="32"/>
        </w:rPr>
        <w:t>教育</w:t>
      </w:r>
      <w:r>
        <w:rPr>
          <w:rStyle w:val="16"/>
          <w:rFonts w:hint="eastAsia" w:ascii="仿宋_GB2312" w:hAnsi="仿宋_GB2312" w:eastAsia="仿宋_GB2312" w:cs="仿宋_GB2312"/>
          <w:bCs/>
          <w:color w:val="000000"/>
          <w:sz w:val="32"/>
          <w:szCs w:val="32"/>
          <w:lang w:val="en-US" w:eastAsia="zh-CN"/>
        </w:rPr>
        <w:t>支出</w:t>
      </w:r>
      <w:r>
        <w:rPr>
          <w:rStyle w:val="16"/>
          <w:rFonts w:hint="eastAsia" w:ascii="仿宋_GB2312" w:hAnsi="仿宋_GB2312" w:eastAsia="仿宋_GB2312" w:cs="仿宋_GB2312"/>
          <w:bCs/>
          <w:color w:val="000000"/>
          <w:sz w:val="32"/>
          <w:szCs w:val="32"/>
        </w:rPr>
        <w:t>（类）</w:t>
      </w:r>
      <w:r>
        <w:rPr>
          <w:rStyle w:val="16"/>
          <w:rFonts w:hint="eastAsia" w:ascii="仿宋_GB2312" w:hAnsi="仿宋_GB2312" w:eastAsia="仿宋_GB2312" w:cs="仿宋_GB2312"/>
          <w:bCs/>
          <w:color w:val="000000"/>
          <w:sz w:val="32"/>
          <w:szCs w:val="32"/>
          <w:lang w:val="en-US" w:eastAsia="zh-CN"/>
        </w:rPr>
        <w:t>职业教育</w:t>
      </w:r>
      <w:r>
        <w:rPr>
          <w:rStyle w:val="16"/>
          <w:rFonts w:hint="eastAsia" w:ascii="仿宋_GB2312" w:hAnsi="仿宋_GB2312" w:eastAsia="仿宋_GB2312" w:cs="仿宋_GB2312"/>
          <w:bCs/>
          <w:color w:val="000000"/>
          <w:sz w:val="32"/>
          <w:szCs w:val="32"/>
        </w:rPr>
        <w:t>（款）</w:t>
      </w:r>
      <w:r>
        <w:rPr>
          <w:rStyle w:val="16"/>
          <w:rFonts w:hint="eastAsia" w:ascii="仿宋_GB2312" w:hAnsi="仿宋_GB2312" w:eastAsia="仿宋_GB2312" w:cs="仿宋_GB2312"/>
          <w:bCs/>
          <w:color w:val="000000"/>
          <w:sz w:val="32"/>
          <w:szCs w:val="32"/>
          <w:lang w:val="en-US" w:eastAsia="zh-CN"/>
        </w:rPr>
        <w:t>其他职业教育支出（</w:t>
      </w:r>
      <w:r>
        <w:rPr>
          <w:rStyle w:val="16"/>
          <w:rFonts w:hint="eastAsia" w:ascii="仿宋_GB2312" w:hAnsi="仿宋_GB2312" w:eastAsia="仿宋_GB2312" w:cs="仿宋_GB2312"/>
          <w:bCs/>
          <w:color w:val="000000"/>
          <w:sz w:val="32"/>
          <w:szCs w:val="32"/>
        </w:rPr>
        <w:t>项）:</w:t>
      </w:r>
      <w:r>
        <w:rPr>
          <w:rStyle w:val="16"/>
          <w:rFonts w:hint="eastAsia" w:ascii="仿宋_GB2312" w:hAnsi="仿宋_GB2312" w:eastAsia="仿宋_GB2312" w:cs="仿宋_GB2312"/>
          <w:b w:val="0"/>
          <w:bCs/>
          <w:color w:val="000000"/>
          <w:sz w:val="32"/>
          <w:szCs w:val="32"/>
        </w:rPr>
        <w:t>支出决算为</w:t>
      </w:r>
      <w:r>
        <w:rPr>
          <w:rStyle w:val="16"/>
          <w:rFonts w:hint="eastAsia" w:ascii="仿宋_GB2312" w:hAnsi="仿宋_GB2312" w:eastAsia="仿宋_GB2312" w:cs="仿宋_GB2312"/>
          <w:b w:val="0"/>
          <w:bCs/>
          <w:color w:val="000000"/>
          <w:sz w:val="32"/>
          <w:szCs w:val="32"/>
          <w:lang w:val="en-US" w:eastAsia="zh-CN"/>
        </w:rPr>
        <w:t>475</w:t>
      </w:r>
      <w:r>
        <w:rPr>
          <w:rStyle w:val="16"/>
          <w:rFonts w:hint="eastAsia" w:ascii="仿宋_GB2312" w:hAnsi="仿宋_GB2312" w:eastAsia="仿宋_GB2312" w:cs="仿宋_GB2312"/>
          <w:b w:val="0"/>
          <w:bCs/>
          <w:color w:val="000000"/>
          <w:sz w:val="32"/>
          <w:szCs w:val="32"/>
        </w:rPr>
        <w:t>万元</w:t>
      </w:r>
      <w:r>
        <w:rPr>
          <w:rStyle w:val="16"/>
          <w:rFonts w:hint="eastAsia" w:ascii="仿宋_GB2312" w:hAnsi="仿宋_GB2312" w:eastAsia="仿宋_GB2312" w:cs="仿宋_GB2312"/>
          <w:b w:val="0"/>
          <w:bCs/>
          <w:color w:val="000000"/>
          <w:sz w:val="32"/>
          <w:szCs w:val="32"/>
          <w:lang w:eastAsia="zh-CN"/>
        </w:rPr>
        <w:t>，</w:t>
      </w:r>
      <w:r>
        <w:rPr>
          <w:rStyle w:val="16"/>
          <w:rFonts w:hint="eastAsia" w:ascii="仿宋_GB2312" w:hAnsi="仿宋_GB2312" w:eastAsia="仿宋_GB2312" w:cs="仿宋_GB2312"/>
          <w:b w:val="0"/>
          <w:bCs/>
          <w:color w:val="000000"/>
          <w:sz w:val="32"/>
          <w:szCs w:val="32"/>
          <w:lang w:val="en-US" w:eastAsia="zh-CN"/>
        </w:rPr>
        <w:t>与预算数持平</w:t>
      </w:r>
      <w:r>
        <w:rPr>
          <w:rStyle w:val="16"/>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textAlignment w:val="auto"/>
        <w:rPr>
          <w:rStyle w:val="16"/>
          <w:rFonts w:hint="default" w:ascii="仿宋_GB2312" w:hAnsi="仿宋_GB2312" w:eastAsia="仿宋_GB2312" w:cs="仿宋_GB2312"/>
          <w:b w:val="0"/>
          <w:bCs/>
          <w:color w:val="000000"/>
          <w:sz w:val="32"/>
          <w:szCs w:val="32"/>
          <w:lang w:val="en-US" w:eastAsia="zh-CN"/>
        </w:rPr>
      </w:pPr>
      <w:r>
        <w:rPr>
          <w:rStyle w:val="16"/>
          <w:rFonts w:hint="eastAsia" w:ascii="仿宋_GB2312" w:hAnsi="仿宋_GB2312" w:eastAsia="仿宋_GB2312" w:cs="仿宋_GB2312"/>
          <w:bCs/>
          <w:color w:val="000000"/>
          <w:sz w:val="32"/>
          <w:szCs w:val="32"/>
          <w:lang w:val="en-US" w:eastAsia="zh-CN"/>
        </w:rPr>
        <w:t>6.</w:t>
      </w:r>
      <w:r>
        <w:rPr>
          <w:rStyle w:val="16"/>
          <w:rFonts w:hint="eastAsia" w:ascii="仿宋_GB2312" w:hAnsi="仿宋_GB2312" w:eastAsia="仿宋_GB2312" w:cs="仿宋_GB2312"/>
          <w:bCs/>
          <w:color w:val="000000"/>
          <w:sz w:val="32"/>
          <w:szCs w:val="32"/>
        </w:rPr>
        <w:t>教育</w:t>
      </w:r>
      <w:r>
        <w:rPr>
          <w:rStyle w:val="16"/>
          <w:rFonts w:hint="eastAsia" w:ascii="仿宋_GB2312" w:hAnsi="仿宋_GB2312" w:eastAsia="仿宋_GB2312" w:cs="仿宋_GB2312"/>
          <w:bCs/>
          <w:color w:val="000000"/>
          <w:sz w:val="32"/>
          <w:szCs w:val="32"/>
          <w:lang w:val="en-US" w:eastAsia="zh-CN"/>
        </w:rPr>
        <w:t>支出</w:t>
      </w:r>
      <w:r>
        <w:rPr>
          <w:rStyle w:val="16"/>
          <w:rFonts w:hint="eastAsia" w:ascii="仿宋_GB2312" w:hAnsi="仿宋_GB2312" w:eastAsia="仿宋_GB2312" w:cs="仿宋_GB2312"/>
          <w:bCs/>
          <w:color w:val="000000"/>
          <w:sz w:val="32"/>
          <w:szCs w:val="32"/>
        </w:rPr>
        <w:t>（类）</w:t>
      </w:r>
      <w:r>
        <w:rPr>
          <w:rStyle w:val="16"/>
          <w:rFonts w:hint="eastAsia" w:ascii="仿宋_GB2312" w:hAnsi="仿宋_GB2312" w:eastAsia="仿宋_GB2312" w:cs="仿宋_GB2312"/>
          <w:bCs/>
          <w:color w:val="000000"/>
          <w:sz w:val="32"/>
          <w:szCs w:val="32"/>
          <w:lang w:val="en-US" w:eastAsia="zh-CN"/>
        </w:rPr>
        <w:t>进修及培训</w:t>
      </w:r>
      <w:r>
        <w:rPr>
          <w:rStyle w:val="16"/>
          <w:rFonts w:hint="eastAsia" w:ascii="仿宋_GB2312" w:hAnsi="仿宋_GB2312" w:eastAsia="仿宋_GB2312" w:cs="仿宋_GB2312"/>
          <w:bCs/>
          <w:color w:val="000000"/>
          <w:sz w:val="32"/>
          <w:szCs w:val="32"/>
        </w:rPr>
        <w:t>（款）</w:t>
      </w:r>
      <w:r>
        <w:rPr>
          <w:rStyle w:val="16"/>
          <w:rFonts w:hint="eastAsia" w:ascii="仿宋_GB2312" w:hAnsi="仿宋_GB2312" w:eastAsia="仿宋_GB2312" w:cs="仿宋_GB2312"/>
          <w:bCs/>
          <w:color w:val="000000"/>
          <w:sz w:val="32"/>
          <w:szCs w:val="32"/>
          <w:lang w:val="en-US" w:eastAsia="zh-CN"/>
        </w:rPr>
        <w:t>培训支出（</w:t>
      </w:r>
      <w:r>
        <w:rPr>
          <w:rStyle w:val="16"/>
          <w:rFonts w:hint="eastAsia" w:ascii="仿宋_GB2312" w:hAnsi="仿宋_GB2312" w:eastAsia="仿宋_GB2312" w:cs="仿宋_GB2312"/>
          <w:bCs/>
          <w:color w:val="000000"/>
          <w:sz w:val="32"/>
          <w:szCs w:val="32"/>
        </w:rPr>
        <w:t>项）:</w:t>
      </w:r>
      <w:r>
        <w:rPr>
          <w:rStyle w:val="16"/>
          <w:rFonts w:hint="eastAsia" w:ascii="仿宋_GB2312" w:hAnsi="仿宋_GB2312" w:eastAsia="仿宋_GB2312" w:cs="仿宋_GB2312"/>
          <w:b w:val="0"/>
          <w:bCs/>
          <w:color w:val="000000"/>
          <w:sz w:val="32"/>
          <w:szCs w:val="32"/>
        </w:rPr>
        <w:t>支出决算为</w:t>
      </w:r>
      <w:r>
        <w:rPr>
          <w:rStyle w:val="16"/>
          <w:rFonts w:hint="eastAsia" w:ascii="仿宋_GB2312" w:hAnsi="仿宋_GB2312" w:eastAsia="仿宋_GB2312" w:cs="仿宋_GB2312"/>
          <w:b w:val="0"/>
          <w:bCs/>
          <w:color w:val="000000"/>
          <w:sz w:val="32"/>
          <w:szCs w:val="32"/>
          <w:lang w:val="en-US" w:eastAsia="zh-CN"/>
        </w:rPr>
        <w:t>12.04</w:t>
      </w:r>
      <w:r>
        <w:rPr>
          <w:rStyle w:val="16"/>
          <w:rFonts w:hint="eastAsia" w:ascii="仿宋_GB2312" w:hAnsi="仿宋_GB2312" w:eastAsia="仿宋_GB2312" w:cs="仿宋_GB2312"/>
          <w:b w:val="0"/>
          <w:bCs/>
          <w:color w:val="000000"/>
          <w:sz w:val="32"/>
          <w:szCs w:val="32"/>
        </w:rPr>
        <w:t>万元</w:t>
      </w:r>
      <w:r>
        <w:rPr>
          <w:rStyle w:val="16"/>
          <w:rFonts w:hint="eastAsia" w:ascii="仿宋_GB2312" w:hAnsi="仿宋_GB2312" w:eastAsia="仿宋_GB2312" w:cs="仿宋_GB2312"/>
          <w:b w:val="0"/>
          <w:bCs/>
          <w:color w:val="000000"/>
          <w:sz w:val="32"/>
          <w:szCs w:val="32"/>
          <w:lang w:eastAsia="zh-CN"/>
        </w:rPr>
        <w:t>，</w:t>
      </w:r>
      <w:r>
        <w:rPr>
          <w:rStyle w:val="16"/>
          <w:rFonts w:hint="eastAsia" w:ascii="仿宋_GB2312" w:hAnsi="仿宋_GB2312" w:eastAsia="仿宋_GB2312" w:cs="仿宋_GB2312"/>
          <w:b w:val="0"/>
          <w:bCs/>
          <w:color w:val="000000"/>
          <w:sz w:val="32"/>
          <w:szCs w:val="32"/>
          <w:lang w:val="en-US" w:eastAsia="zh-CN"/>
        </w:rPr>
        <w:t>与预算数持平；</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textAlignment w:val="auto"/>
        <w:rPr>
          <w:rStyle w:val="16"/>
          <w:rFonts w:hint="default" w:ascii="仿宋_GB2312" w:hAnsi="仿宋_GB2312" w:eastAsia="仿宋_GB2312" w:cs="仿宋_GB2312"/>
          <w:b w:val="0"/>
          <w:bCs/>
          <w:color w:val="000000"/>
          <w:sz w:val="32"/>
          <w:szCs w:val="32"/>
          <w:lang w:val="en-US" w:eastAsia="zh-CN"/>
        </w:rPr>
      </w:pPr>
      <w:r>
        <w:rPr>
          <w:rStyle w:val="16"/>
          <w:rFonts w:hint="eastAsia" w:ascii="仿宋_GB2312" w:hAnsi="仿宋_GB2312" w:eastAsia="仿宋_GB2312" w:cs="仿宋_GB2312"/>
          <w:bCs/>
          <w:color w:val="000000"/>
          <w:sz w:val="32"/>
          <w:szCs w:val="32"/>
          <w:lang w:val="en-US" w:eastAsia="zh-CN"/>
        </w:rPr>
        <w:t>7.</w:t>
      </w:r>
      <w:r>
        <w:rPr>
          <w:rStyle w:val="16"/>
          <w:rFonts w:hint="eastAsia" w:ascii="仿宋_GB2312" w:hAnsi="仿宋_GB2312" w:eastAsia="仿宋_GB2312" w:cs="仿宋_GB2312"/>
          <w:bCs/>
          <w:color w:val="000000"/>
          <w:sz w:val="32"/>
          <w:szCs w:val="32"/>
        </w:rPr>
        <w:t>教育</w:t>
      </w:r>
      <w:r>
        <w:rPr>
          <w:rStyle w:val="16"/>
          <w:rFonts w:hint="eastAsia" w:ascii="仿宋_GB2312" w:hAnsi="仿宋_GB2312" w:eastAsia="仿宋_GB2312" w:cs="仿宋_GB2312"/>
          <w:bCs/>
          <w:color w:val="000000"/>
          <w:sz w:val="32"/>
          <w:szCs w:val="32"/>
          <w:lang w:val="en-US" w:eastAsia="zh-CN"/>
        </w:rPr>
        <w:t>支出</w:t>
      </w:r>
      <w:r>
        <w:rPr>
          <w:rStyle w:val="16"/>
          <w:rFonts w:hint="eastAsia" w:ascii="仿宋_GB2312" w:hAnsi="仿宋_GB2312" w:eastAsia="仿宋_GB2312" w:cs="仿宋_GB2312"/>
          <w:bCs/>
          <w:color w:val="000000"/>
          <w:sz w:val="32"/>
          <w:szCs w:val="32"/>
        </w:rPr>
        <w:t>（类）</w:t>
      </w:r>
      <w:r>
        <w:rPr>
          <w:rStyle w:val="16"/>
          <w:rFonts w:hint="eastAsia" w:ascii="仿宋_GB2312" w:hAnsi="仿宋_GB2312" w:eastAsia="仿宋_GB2312" w:cs="仿宋_GB2312"/>
          <w:bCs/>
          <w:color w:val="000000"/>
          <w:sz w:val="32"/>
          <w:szCs w:val="32"/>
          <w:lang w:val="en-US" w:eastAsia="zh-CN"/>
        </w:rPr>
        <w:t>其他教育支出</w:t>
      </w:r>
      <w:r>
        <w:rPr>
          <w:rStyle w:val="16"/>
          <w:rFonts w:hint="eastAsia" w:ascii="仿宋_GB2312" w:hAnsi="仿宋_GB2312" w:eastAsia="仿宋_GB2312" w:cs="仿宋_GB2312"/>
          <w:bCs/>
          <w:color w:val="000000"/>
          <w:sz w:val="32"/>
          <w:szCs w:val="32"/>
        </w:rPr>
        <w:t>（款）</w:t>
      </w:r>
      <w:r>
        <w:rPr>
          <w:rStyle w:val="16"/>
          <w:rFonts w:hint="eastAsia" w:ascii="仿宋_GB2312" w:hAnsi="仿宋_GB2312" w:eastAsia="仿宋_GB2312" w:cs="仿宋_GB2312"/>
          <w:bCs/>
          <w:color w:val="000000"/>
          <w:sz w:val="32"/>
          <w:szCs w:val="32"/>
          <w:lang w:val="en-US" w:eastAsia="zh-CN"/>
        </w:rPr>
        <w:t>其他教育支出（</w:t>
      </w:r>
      <w:r>
        <w:rPr>
          <w:rStyle w:val="16"/>
          <w:rFonts w:hint="eastAsia" w:ascii="仿宋_GB2312" w:hAnsi="仿宋_GB2312" w:eastAsia="仿宋_GB2312" w:cs="仿宋_GB2312"/>
          <w:bCs/>
          <w:color w:val="000000"/>
          <w:sz w:val="32"/>
          <w:szCs w:val="32"/>
        </w:rPr>
        <w:t>项）:</w:t>
      </w:r>
      <w:r>
        <w:rPr>
          <w:rStyle w:val="16"/>
          <w:rFonts w:hint="eastAsia" w:ascii="仿宋_GB2312" w:hAnsi="仿宋_GB2312" w:eastAsia="仿宋_GB2312" w:cs="仿宋_GB2312"/>
          <w:b w:val="0"/>
          <w:bCs/>
          <w:color w:val="000000"/>
          <w:sz w:val="32"/>
          <w:szCs w:val="32"/>
        </w:rPr>
        <w:t>支出决算为</w:t>
      </w:r>
      <w:r>
        <w:rPr>
          <w:rStyle w:val="16"/>
          <w:rFonts w:hint="eastAsia" w:ascii="仿宋_GB2312" w:hAnsi="仿宋_GB2312" w:eastAsia="仿宋_GB2312" w:cs="仿宋_GB2312"/>
          <w:b w:val="0"/>
          <w:bCs/>
          <w:color w:val="000000"/>
          <w:sz w:val="32"/>
          <w:szCs w:val="32"/>
          <w:lang w:val="en-US" w:eastAsia="zh-CN"/>
        </w:rPr>
        <w:t>361.1</w:t>
      </w:r>
      <w:r>
        <w:rPr>
          <w:rStyle w:val="16"/>
          <w:rFonts w:hint="eastAsia" w:ascii="仿宋_GB2312" w:hAnsi="仿宋_GB2312" w:eastAsia="仿宋_GB2312" w:cs="仿宋_GB2312"/>
          <w:b w:val="0"/>
          <w:bCs/>
          <w:color w:val="000000"/>
          <w:sz w:val="32"/>
          <w:szCs w:val="32"/>
        </w:rPr>
        <w:t>万元</w:t>
      </w:r>
      <w:r>
        <w:rPr>
          <w:rStyle w:val="16"/>
          <w:rFonts w:hint="eastAsia" w:ascii="仿宋_GB2312" w:hAnsi="仿宋_GB2312" w:eastAsia="仿宋_GB2312" w:cs="仿宋_GB2312"/>
          <w:b w:val="0"/>
          <w:bCs/>
          <w:color w:val="000000"/>
          <w:sz w:val="32"/>
          <w:szCs w:val="32"/>
          <w:lang w:eastAsia="zh-CN"/>
        </w:rPr>
        <w:t>，</w:t>
      </w:r>
      <w:r>
        <w:rPr>
          <w:rStyle w:val="16"/>
          <w:rFonts w:hint="eastAsia" w:ascii="仿宋_GB2312" w:hAnsi="仿宋_GB2312" w:eastAsia="仿宋_GB2312" w:cs="仿宋_GB2312"/>
          <w:b w:val="0"/>
          <w:bCs/>
          <w:color w:val="000000"/>
          <w:sz w:val="32"/>
          <w:szCs w:val="32"/>
          <w:lang w:val="en-US" w:eastAsia="zh-CN"/>
        </w:rPr>
        <w:t>完成预算的20.46%，决算数小于预算数的主要原因是四川省贸易学校“教育现代化推进工程中央预算内投资”项目预算1765.27万元，由于前期相关工作推进较慢，资金拨付滞后；</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textAlignment w:val="auto"/>
        <w:rPr>
          <w:rStyle w:val="16"/>
          <w:rFonts w:hint="default" w:ascii="仿宋_GB2312" w:hAnsi="仿宋_GB2312" w:eastAsia="仿宋_GB2312" w:cs="仿宋_GB2312"/>
          <w:b w:val="0"/>
          <w:bCs/>
          <w:color w:val="000000"/>
          <w:sz w:val="32"/>
          <w:szCs w:val="32"/>
          <w:lang w:val="en-US" w:eastAsia="zh-CN"/>
        </w:rPr>
      </w:pPr>
      <w:r>
        <w:rPr>
          <w:rStyle w:val="16"/>
          <w:rFonts w:hint="eastAsia" w:ascii="仿宋_GB2312" w:hAnsi="仿宋_GB2312" w:eastAsia="仿宋_GB2312" w:cs="仿宋_GB2312"/>
          <w:bCs/>
          <w:color w:val="000000"/>
          <w:sz w:val="32"/>
          <w:szCs w:val="32"/>
          <w:lang w:val="en-US" w:eastAsia="zh-CN"/>
        </w:rPr>
        <w:t>8.</w:t>
      </w:r>
      <w:r>
        <w:rPr>
          <w:rStyle w:val="16"/>
          <w:rFonts w:hint="eastAsia" w:ascii="仿宋_GB2312" w:hAnsi="仿宋_GB2312" w:eastAsia="仿宋_GB2312" w:cs="仿宋_GB2312"/>
          <w:bCs/>
          <w:color w:val="000000"/>
          <w:sz w:val="32"/>
          <w:szCs w:val="32"/>
        </w:rPr>
        <w:t>社会保障和就业（类）</w:t>
      </w:r>
      <w:r>
        <w:rPr>
          <w:rStyle w:val="16"/>
          <w:rFonts w:hint="eastAsia" w:ascii="仿宋_GB2312" w:hAnsi="仿宋_GB2312" w:eastAsia="仿宋_GB2312" w:cs="仿宋_GB2312"/>
          <w:bCs/>
          <w:color w:val="000000"/>
          <w:sz w:val="32"/>
          <w:szCs w:val="32"/>
          <w:lang w:val="en-US" w:eastAsia="zh-CN"/>
        </w:rPr>
        <w:t>行政事业单位养老支出</w:t>
      </w:r>
      <w:r>
        <w:rPr>
          <w:rStyle w:val="16"/>
          <w:rFonts w:hint="eastAsia" w:ascii="仿宋_GB2312" w:hAnsi="仿宋_GB2312" w:eastAsia="仿宋_GB2312" w:cs="仿宋_GB2312"/>
          <w:bCs/>
          <w:color w:val="000000"/>
          <w:sz w:val="32"/>
          <w:szCs w:val="32"/>
        </w:rPr>
        <w:t>（款）</w:t>
      </w:r>
      <w:r>
        <w:rPr>
          <w:rStyle w:val="16"/>
          <w:rFonts w:hint="eastAsia" w:ascii="仿宋_GB2312" w:hAnsi="仿宋_GB2312" w:eastAsia="仿宋_GB2312" w:cs="仿宋_GB2312"/>
          <w:bCs/>
          <w:color w:val="000000"/>
          <w:sz w:val="32"/>
          <w:szCs w:val="32"/>
          <w:lang w:val="en-US" w:eastAsia="zh-CN"/>
        </w:rPr>
        <w:t>行政单位离退休</w:t>
      </w:r>
      <w:r>
        <w:rPr>
          <w:rStyle w:val="16"/>
          <w:rFonts w:hint="eastAsia" w:ascii="仿宋_GB2312" w:hAnsi="仿宋_GB2312" w:eastAsia="仿宋_GB2312" w:cs="仿宋_GB2312"/>
          <w:bCs/>
          <w:color w:val="000000"/>
          <w:sz w:val="32"/>
          <w:szCs w:val="32"/>
        </w:rPr>
        <w:t>（项）:</w:t>
      </w:r>
      <w:r>
        <w:rPr>
          <w:rStyle w:val="16"/>
          <w:rFonts w:hint="eastAsia" w:ascii="仿宋_GB2312" w:hAnsi="仿宋_GB2312" w:eastAsia="仿宋_GB2312" w:cs="仿宋_GB2312"/>
          <w:b w:val="0"/>
          <w:bCs/>
          <w:color w:val="000000"/>
          <w:sz w:val="32"/>
          <w:szCs w:val="32"/>
        </w:rPr>
        <w:t xml:space="preserve"> 支出决算为</w:t>
      </w:r>
      <w:r>
        <w:rPr>
          <w:rStyle w:val="16"/>
          <w:rFonts w:hint="eastAsia" w:ascii="仿宋_GB2312" w:hAnsi="仿宋_GB2312" w:eastAsia="仿宋_GB2312" w:cs="仿宋_GB2312"/>
          <w:b w:val="0"/>
          <w:bCs/>
          <w:color w:val="000000"/>
          <w:sz w:val="32"/>
          <w:szCs w:val="32"/>
          <w:lang w:val="en-US" w:eastAsia="zh-CN"/>
        </w:rPr>
        <w:t>377.26</w:t>
      </w:r>
      <w:r>
        <w:rPr>
          <w:rStyle w:val="16"/>
          <w:rFonts w:hint="eastAsia" w:ascii="仿宋_GB2312" w:hAnsi="仿宋_GB2312" w:eastAsia="仿宋_GB2312" w:cs="仿宋_GB2312"/>
          <w:b w:val="0"/>
          <w:bCs/>
          <w:color w:val="000000"/>
          <w:sz w:val="32"/>
          <w:szCs w:val="32"/>
        </w:rPr>
        <w:t>万元，</w:t>
      </w:r>
      <w:r>
        <w:rPr>
          <w:rStyle w:val="16"/>
          <w:rFonts w:hint="eastAsia" w:ascii="仿宋_GB2312" w:hAnsi="仿宋_GB2312" w:eastAsia="仿宋_GB2312" w:cs="仿宋_GB2312"/>
          <w:b w:val="0"/>
          <w:bCs/>
          <w:color w:val="000000"/>
          <w:sz w:val="32"/>
          <w:szCs w:val="32"/>
          <w:lang w:val="en-US" w:eastAsia="zh-CN"/>
        </w:rPr>
        <w:t>完成预算的98.48%，决算数小于预算数的主要原因是省社机关离休费经费结余5.83万元，年底财政收回；</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textAlignment w:val="auto"/>
        <w:rPr>
          <w:rStyle w:val="16"/>
          <w:rFonts w:hint="eastAsia" w:ascii="仿宋_GB2312" w:hAnsi="仿宋_GB2312" w:eastAsia="仿宋_GB2312" w:cs="仿宋_GB2312"/>
          <w:b w:val="0"/>
          <w:bCs/>
          <w:color w:val="000000"/>
          <w:sz w:val="32"/>
          <w:szCs w:val="32"/>
          <w:lang w:eastAsia="zh-CN"/>
        </w:rPr>
      </w:pPr>
      <w:r>
        <w:rPr>
          <w:rStyle w:val="16"/>
          <w:rFonts w:hint="eastAsia" w:ascii="仿宋_GB2312" w:hAnsi="仿宋_GB2312" w:eastAsia="仿宋_GB2312" w:cs="仿宋_GB2312"/>
          <w:bCs/>
          <w:color w:val="000000"/>
          <w:sz w:val="32"/>
          <w:szCs w:val="32"/>
          <w:lang w:val="en-US" w:eastAsia="zh-CN"/>
        </w:rPr>
        <w:t>9.</w:t>
      </w:r>
      <w:r>
        <w:rPr>
          <w:rStyle w:val="16"/>
          <w:rFonts w:hint="eastAsia" w:ascii="仿宋_GB2312" w:hAnsi="仿宋_GB2312" w:eastAsia="仿宋_GB2312" w:cs="仿宋_GB2312"/>
          <w:bCs/>
          <w:color w:val="000000"/>
          <w:sz w:val="32"/>
          <w:szCs w:val="32"/>
        </w:rPr>
        <w:t>社会保障和就业（类）</w:t>
      </w:r>
      <w:r>
        <w:rPr>
          <w:rStyle w:val="16"/>
          <w:rFonts w:hint="eastAsia" w:ascii="仿宋_GB2312" w:hAnsi="仿宋_GB2312" w:eastAsia="仿宋_GB2312" w:cs="仿宋_GB2312"/>
          <w:bCs/>
          <w:color w:val="000000"/>
          <w:sz w:val="32"/>
          <w:szCs w:val="32"/>
          <w:lang w:val="en-US" w:eastAsia="zh-CN"/>
        </w:rPr>
        <w:t>行政事业单位养老支出</w:t>
      </w:r>
      <w:r>
        <w:rPr>
          <w:rStyle w:val="16"/>
          <w:rFonts w:hint="eastAsia" w:ascii="仿宋_GB2312" w:hAnsi="仿宋_GB2312" w:eastAsia="仿宋_GB2312" w:cs="仿宋_GB2312"/>
          <w:bCs/>
          <w:color w:val="000000"/>
          <w:sz w:val="32"/>
          <w:szCs w:val="32"/>
        </w:rPr>
        <w:t>（款）</w:t>
      </w:r>
      <w:r>
        <w:rPr>
          <w:rStyle w:val="16"/>
          <w:rFonts w:hint="eastAsia" w:ascii="仿宋_GB2312" w:hAnsi="仿宋_GB2312" w:eastAsia="仿宋_GB2312" w:cs="仿宋_GB2312"/>
          <w:b/>
          <w:bCs w:val="0"/>
          <w:color w:val="000000"/>
          <w:sz w:val="32"/>
          <w:szCs w:val="32"/>
          <w:lang w:val="en-US" w:eastAsia="zh-CN"/>
        </w:rPr>
        <w:t>事业单位离退休（</w:t>
      </w:r>
      <w:r>
        <w:rPr>
          <w:rStyle w:val="16"/>
          <w:rFonts w:hint="eastAsia" w:ascii="仿宋_GB2312" w:hAnsi="仿宋_GB2312" w:eastAsia="仿宋_GB2312" w:cs="仿宋_GB2312"/>
          <w:b/>
          <w:bCs w:val="0"/>
          <w:color w:val="000000"/>
          <w:sz w:val="32"/>
          <w:szCs w:val="32"/>
        </w:rPr>
        <w:t>项</w:t>
      </w:r>
      <w:r>
        <w:rPr>
          <w:rStyle w:val="16"/>
          <w:rFonts w:hint="eastAsia" w:ascii="仿宋_GB2312" w:hAnsi="仿宋_GB2312" w:eastAsia="仿宋_GB2312" w:cs="仿宋_GB2312"/>
          <w:b/>
          <w:bCs w:val="0"/>
          <w:color w:val="000000"/>
          <w:sz w:val="32"/>
          <w:szCs w:val="32"/>
          <w:lang w:val="en-US" w:eastAsia="zh-CN"/>
        </w:rPr>
        <w:t>）</w:t>
      </w:r>
      <w:r>
        <w:rPr>
          <w:rStyle w:val="16"/>
          <w:rFonts w:hint="eastAsia" w:ascii="仿宋_GB2312" w:hAnsi="仿宋_GB2312" w:eastAsia="仿宋_GB2312" w:cs="仿宋_GB2312"/>
          <w:b w:val="0"/>
          <w:bCs/>
          <w:color w:val="000000"/>
          <w:sz w:val="32"/>
          <w:szCs w:val="32"/>
          <w:lang w:val="en-US" w:eastAsia="zh-CN"/>
        </w:rPr>
        <w:t>:支出决算为0.07万元，与预算数持平</w:t>
      </w:r>
      <w:r>
        <w:rPr>
          <w:rStyle w:val="16"/>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textAlignment w:val="auto"/>
        <w:rPr>
          <w:rStyle w:val="16"/>
          <w:rFonts w:hint="eastAsia" w:ascii="仿宋_GB2312" w:hAnsi="仿宋_GB2312" w:eastAsia="仿宋_GB2312" w:cs="仿宋_GB2312"/>
          <w:b w:val="0"/>
          <w:bCs/>
          <w:color w:val="000000"/>
          <w:sz w:val="32"/>
          <w:szCs w:val="32"/>
          <w:lang w:eastAsia="zh-CN"/>
        </w:rPr>
      </w:pPr>
      <w:r>
        <w:rPr>
          <w:rStyle w:val="16"/>
          <w:rFonts w:hint="eastAsia" w:ascii="仿宋_GB2312" w:hAnsi="仿宋_GB2312" w:eastAsia="仿宋_GB2312" w:cs="仿宋_GB2312"/>
          <w:bCs/>
          <w:color w:val="000000"/>
          <w:sz w:val="32"/>
          <w:szCs w:val="32"/>
          <w:lang w:val="en-US" w:eastAsia="zh-CN"/>
        </w:rPr>
        <w:t>10.</w:t>
      </w:r>
      <w:r>
        <w:rPr>
          <w:rStyle w:val="16"/>
          <w:rFonts w:hint="eastAsia" w:ascii="仿宋_GB2312" w:hAnsi="仿宋_GB2312" w:eastAsia="仿宋_GB2312" w:cs="仿宋_GB2312"/>
          <w:bCs/>
          <w:color w:val="000000"/>
          <w:sz w:val="32"/>
          <w:szCs w:val="32"/>
        </w:rPr>
        <w:t>社会保障和就业（类）</w:t>
      </w:r>
      <w:r>
        <w:rPr>
          <w:rStyle w:val="16"/>
          <w:rFonts w:hint="eastAsia" w:ascii="仿宋_GB2312" w:hAnsi="仿宋_GB2312" w:eastAsia="仿宋_GB2312" w:cs="仿宋_GB2312"/>
          <w:bCs/>
          <w:color w:val="000000"/>
          <w:sz w:val="32"/>
          <w:szCs w:val="32"/>
          <w:lang w:val="en-US" w:eastAsia="zh-CN"/>
        </w:rPr>
        <w:t>行政事业单位养老支出</w:t>
      </w:r>
      <w:r>
        <w:rPr>
          <w:rStyle w:val="16"/>
          <w:rFonts w:hint="eastAsia" w:ascii="仿宋_GB2312" w:hAnsi="仿宋_GB2312" w:eastAsia="仿宋_GB2312" w:cs="仿宋_GB2312"/>
          <w:bCs/>
          <w:color w:val="000000"/>
          <w:sz w:val="32"/>
          <w:szCs w:val="32"/>
        </w:rPr>
        <w:t>（款）</w:t>
      </w:r>
      <w:r>
        <w:rPr>
          <w:rStyle w:val="16"/>
          <w:rFonts w:hint="eastAsia" w:ascii="仿宋_GB2312" w:hAnsi="仿宋_GB2312" w:eastAsia="仿宋_GB2312" w:cs="仿宋_GB2312"/>
          <w:b/>
          <w:bCs w:val="0"/>
          <w:color w:val="000000"/>
          <w:sz w:val="32"/>
          <w:szCs w:val="32"/>
          <w:lang w:val="en-US" w:eastAsia="zh-CN"/>
        </w:rPr>
        <w:t>机关事业单位养老保险缴费支出（</w:t>
      </w:r>
      <w:r>
        <w:rPr>
          <w:rStyle w:val="16"/>
          <w:rFonts w:hint="eastAsia" w:ascii="仿宋_GB2312" w:hAnsi="仿宋_GB2312" w:eastAsia="仿宋_GB2312" w:cs="仿宋_GB2312"/>
          <w:b/>
          <w:bCs w:val="0"/>
          <w:color w:val="000000"/>
          <w:sz w:val="32"/>
          <w:szCs w:val="32"/>
        </w:rPr>
        <w:t>项</w:t>
      </w:r>
      <w:r>
        <w:rPr>
          <w:rStyle w:val="16"/>
          <w:rFonts w:hint="eastAsia" w:ascii="仿宋_GB2312" w:hAnsi="仿宋_GB2312" w:eastAsia="仿宋_GB2312" w:cs="仿宋_GB2312"/>
          <w:b/>
          <w:bCs w:val="0"/>
          <w:color w:val="000000"/>
          <w:sz w:val="32"/>
          <w:szCs w:val="32"/>
          <w:lang w:val="en-US" w:eastAsia="zh-CN"/>
        </w:rPr>
        <w:t>）：</w:t>
      </w:r>
      <w:r>
        <w:rPr>
          <w:rStyle w:val="16"/>
          <w:rFonts w:hint="eastAsia" w:ascii="仿宋_GB2312" w:hAnsi="仿宋_GB2312" w:eastAsia="仿宋_GB2312" w:cs="仿宋_GB2312"/>
          <w:b w:val="0"/>
          <w:bCs/>
          <w:color w:val="000000"/>
          <w:sz w:val="32"/>
          <w:szCs w:val="32"/>
          <w:lang w:val="en-US" w:eastAsia="zh-CN"/>
        </w:rPr>
        <w:t>支出决算为133.47万元，与预算数持平</w:t>
      </w:r>
      <w:r>
        <w:rPr>
          <w:rStyle w:val="16"/>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textAlignment w:val="auto"/>
        <w:rPr>
          <w:rStyle w:val="16"/>
          <w:rFonts w:hint="eastAsia" w:ascii="仿宋_GB2312" w:hAnsi="仿宋_GB2312" w:eastAsia="仿宋_GB2312" w:cs="仿宋_GB2312"/>
          <w:b w:val="0"/>
          <w:bCs/>
          <w:color w:val="000000"/>
          <w:sz w:val="32"/>
          <w:szCs w:val="32"/>
          <w:lang w:val="en-US" w:eastAsia="zh-CN"/>
        </w:rPr>
      </w:pPr>
      <w:r>
        <w:rPr>
          <w:rStyle w:val="16"/>
          <w:rFonts w:hint="eastAsia" w:ascii="仿宋_GB2312" w:hAnsi="仿宋_GB2312" w:eastAsia="仿宋_GB2312" w:cs="仿宋_GB2312"/>
          <w:bCs/>
          <w:color w:val="000000"/>
          <w:sz w:val="32"/>
          <w:szCs w:val="32"/>
          <w:lang w:val="en-US" w:eastAsia="zh-CN"/>
        </w:rPr>
        <w:t>11.</w:t>
      </w:r>
      <w:r>
        <w:rPr>
          <w:rStyle w:val="16"/>
          <w:rFonts w:hint="eastAsia" w:ascii="仿宋_GB2312" w:hAnsi="仿宋_GB2312" w:eastAsia="仿宋_GB2312" w:cs="仿宋_GB2312"/>
          <w:bCs/>
          <w:color w:val="000000"/>
          <w:sz w:val="32"/>
          <w:szCs w:val="32"/>
        </w:rPr>
        <w:t>社会保障和就业（类）</w:t>
      </w:r>
      <w:r>
        <w:rPr>
          <w:rStyle w:val="16"/>
          <w:rFonts w:hint="eastAsia" w:ascii="仿宋_GB2312" w:hAnsi="仿宋_GB2312" w:eastAsia="仿宋_GB2312" w:cs="仿宋_GB2312"/>
          <w:bCs/>
          <w:color w:val="000000"/>
          <w:sz w:val="32"/>
          <w:szCs w:val="32"/>
          <w:lang w:val="en-US" w:eastAsia="zh-CN"/>
        </w:rPr>
        <w:t>行政事业单位养老支出</w:t>
      </w:r>
      <w:r>
        <w:rPr>
          <w:rStyle w:val="16"/>
          <w:rFonts w:hint="eastAsia" w:ascii="仿宋_GB2312" w:hAnsi="仿宋_GB2312" w:eastAsia="仿宋_GB2312" w:cs="仿宋_GB2312"/>
          <w:bCs/>
          <w:color w:val="000000"/>
          <w:sz w:val="32"/>
          <w:szCs w:val="32"/>
        </w:rPr>
        <w:t>（款）</w:t>
      </w:r>
      <w:r>
        <w:rPr>
          <w:rStyle w:val="16"/>
          <w:rFonts w:hint="eastAsia" w:ascii="仿宋_GB2312" w:hAnsi="仿宋_GB2312" w:eastAsia="仿宋_GB2312" w:cs="仿宋_GB2312"/>
          <w:b/>
          <w:bCs w:val="0"/>
          <w:color w:val="000000"/>
          <w:sz w:val="32"/>
          <w:szCs w:val="32"/>
          <w:lang w:val="en-US" w:eastAsia="zh-CN"/>
        </w:rPr>
        <w:t>机关事业单位职业年金缴费支出（</w:t>
      </w:r>
      <w:r>
        <w:rPr>
          <w:rStyle w:val="16"/>
          <w:rFonts w:hint="eastAsia" w:ascii="仿宋_GB2312" w:hAnsi="仿宋_GB2312" w:eastAsia="仿宋_GB2312" w:cs="仿宋_GB2312"/>
          <w:b/>
          <w:bCs w:val="0"/>
          <w:color w:val="000000"/>
          <w:sz w:val="32"/>
          <w:szCs w:val="32"/>
        </w:rPr>
        <w:t>项</w:t>
      </w:r>
      <w:r>
        <w:rPr>
          <w:rStyle w:val="16"/>
          <w:rFonts w:hint="eastAsia" w:ascii="仿宋_GB2312" w:hAnsi="仿宋_GB2312" w:eastAsia="仿宋_GB2312" w:cs="仿宋_GB2312"/>
          <w:b/>
          <w:bCs w:val="0"/>
          <w:color w:val="000000"/>
          <w:sz w:val="32"/>
          <w:szCs w:val="32"/>
          <w:lang w:val="en-US" w:eastAsia="zh-CN"/>
        </w:rPr>
        <w:t>）：</w:t>
      </w:r>
      <w:r>
        <w:rPr>
          <w:rStyle w:val="16"/>
          <w:rFonts w:hint="eastAsia" w:ascii="仿宋_GB2312" w:hAnsi="仿宋_GB2312" w:eastAsia="仿宋_GB2312" w:cs="仿宋_GB2312"/>
          <w:b w:val="0"/>
          <w:bCs/>
          <w:color w:val="000000"/>
          <w:sz w:val="32"/>
          <w:szCs w:val="32"/>
          <w:lang w:val="en-US" w:eastAsia="zh-CN"/>
        </w:rPr>
        <w:t>支出决算为8.66万元，与预算数持平</w:t>
      </w:r>
      <w:r>
        <w:rPr>
          <w:rStyle w:val="16"/>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textAlignment w:val="auto"/>
        <w:rPr>
          <w:rStyle w:val="16"/>
          <w:rFonts w:hint="eastAsia" w:ascii="仿宋_GB2312" w:hAnsi="仿宋_GB2312" w:eastAsia="仿宋_GB2312" w:cs="仿宋_GB2312"/>
          <w:b w:val="0"/>
          <w:bCs/>
          <w:color w:val="000000"/>
          <w:sz w:val="32"/>
          <w:szCs w:val="32"/>
          <w:lang w:val="en-US" w:eastAsia="zh-CN"/>
        </w:rPr>
      </w:pPr>
      <w:r>
        <w:rPr>
          <w:rStyle w:val="16"/>
          <w:rFonts w:hint="eastAsia" w:ascii="仿宋_GB2312" w:hAnsi="仿宋_GB2312" w:eastAsia="仿宋_GB2312" w:cs="仿宋_GB2312"/>
          <w:bCs/>
          <w:color w:val="000000"/>
          <w:sz w:val="32"/>
          <w:szCs w:val="32"/>
          <w:lang w:val="en-US" w:eastAsia="zh-CN"/>
        </w:rPr>
        <w:t>12.</w:t>
      </w:r>
      <w:r>
        <w:rPr>
          <w:rStyle w:val="16"/>
          <w:rFonts w:hint="eastAsia" w:ascii="仿宋_GB2312" w:hAnsi="仿宋_GB2312" w:eastAsia="仿宋_GB2312" w:cs="仿宋_GB2312"/>
          <w:bCs/>
          <w:color w:val="000000"/>
          <w:sz w:val="32"/>
          <w:szCs w:val="32"/>
        </w:rPr>
        <w:t>社会保障和就业（类）</w:t>
      </w:r>
      <w:r>
        <w:rPr>
          <w:rStyle w:val="16"/>
          <w:rFonts w:hint="eastAsia" w:ascii="仿宋_GB2312" w:hAnsi="仿宋_GB2312" w:eastAsia="仿宋_GB2312" w:cs="仿宋_GB2312"/>
          <w:b/>
          <w:bCs w:val="0"/>
          <w:color w:val="000000"/>
          <w:sz w:val="32"/>
          <w:szCs w:val="32"/>
          <w:lang w:val="en-US" w:eastAsia="zh-CN"/>
        </w:rPr>
        <w:t>抚恤（款）死亡抚恤（</w:t>
      </w:r>
      <w:r>
        <w:rPr>
          <w:rStyle w:val="16"/>
          <w:rFonts w:hint="eastAsia" w:ascii="仿宋_GB2312" w:hAnsi="仿宋_GB2312" w:eastAsia="仿宋_GB2312" w:cs="仿宋_GB2312"/>
          <w:b/>
          <w:bCs w:val="0"/>
          <w:color w:val="000000"/>
          <w:sz w:val="32"/>
          <w:szCs w:val="32"/>
        </w:rPr>
        <w:t>项</w:t>
      </w:r>
      <w:r>
        <w:rPr>
          <w:rStyle w:val="16"/>
          <w:rFonts w:hint="eastAsia" w:ascii="仿宋_GB2312" w:hAnsi="仿宋_GB2312" w:eastAsia="仿宋_GB2312" w:cs="仿宋_GB2312"/>
          <w:b/>
          <w:bCs w:val="0"/>
          <w:color w:val="000000"/>
          <w:sz w:val="32"/>
          <w:szCs w:val="32"/>
          <w:lang w:val="en-US" w:eastAsia="zh-CN"/>
        </w:rPr>
        <w:t>）：</w:t>
      </w:r>
      <w:r>
        <w:rPr>
          <w:rStyle w:val="16"/>
          <w:rFonts w:hint="eastAsia" w:ascii="仿宋_GB2312" w:hAnsi="仿宋_GB2312" w:eastAsia="仿宋_GB2312" w:cs="仿宋_GB2312"/>
          <w:b w:val="0"/>
          <w:bCs/>
          <w:color w:val="000000"/>
          <w:sz w:val="32"/>
          <w:szCs w:val="32"/>
          <w:lang w:val="en-US" w:eastAsia="zh-CN"/>
        </w:rPr>
        <w:t>支出决算为69.72万元，与预算数持平</w:t>
      </w:r>
      <w:r>
        <w:rPr>
          <w:rStyle w:val="16"/>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textAlignment w:val="auto"/>
        <w:rPr>
          <w:rStyle w:val="16"/>
          <w:rFonts w:hint="eastAsia" w:ascii="仿宋_GB2312" w:hAnsi="仿宋_GB2312" w:eastAsia="仿宋_GB2312" w:cs="仿宋_GB2312"/>
          <w:b w:val="0"/>
          <w:bCs/>
          <w:color w:val="000000"/>
          <w:sz w:val="32"/>
          <w:szCs w:val="32"/>
          <w:lang w:eastAsia="zh-CN"/>
        </w:rPr>
      </w:pPr>
      <w:r>
        <w:rPr>
          <w:rStyle w:val="16"/>
          <w:rFonts w:hint="eastAsia" w:ascii="仿宋_GB2312" w:hAnsi="仿宋_GB2312" w:eastAsia="仿宋_GB2312" w:cs="仿宋_GB2312"/>
          <w:bCs/>
          <w:color w:val="000000"/>
          <w:sz w:val="32"/>
          <w:szCs w:val="32"/>
          <w:lang w:val="en-US" w:eastAsia="zh-CN"/>
        </w:rPr>
        <w:t>13.</w:t>
      </w:r>
      <w:r>
        <w:rPr>
          <w:rStyle w:val="16"/>
          <w:rFonts w:hint="eastAsia" w:ascii="仿宋_GB2312" w:hAnsi="仿宋_GB2312" w:eastAsia="仿宋_GB2312" w:cs="仿宋_GB2312"/>
          <w:bCs/>
          <w:color w:val="000000"/>
          <w:sz w:val="32"/>
          <w:szCs w:val="32"/>
        </w:rPr>
        <w:t>社会保障和就业（类）</w:t>
      </w:r>
      <w:r>
        <w:rPr>
          <w:rStyle w:val="16"/>
          <w:rFonts w:hint="eastAsia" w:ascii="仿宋_GB2312" w:hAnsi="仿宋_GB2312" w:eastAsia="仿宋_GB2312" w:cs="仿宋_GB2312"/>
          <w:b/>
          <w:bCs w:val="0"/>
          <w:color w:val="000000"/>
          <w:sz w:val="32"/>
          <w:szCs w:val="32"/>
          <w:lang w:val="en-US" w:eastAsia="zh-CN"/>
        </w:rPr>
        <w:t>其他社会保障和就业支出（款）其他社会保障和就业支出（</w:t>
      </w:r>
      <w:r>
        <w:rPr>
          <w:rStyle w:val="16"/>
          <w:rFonts w:hint="eastAsia" w:ascii="仿宋_GB2312" w:hAnsi="仿宋_GB2312" w:eastAsia="仿宋_GB2312" w:cs="仿宋_GB2312"/>
          <w:b/>
          <w:bCs w:val="0"/>
          <w:color w:val="000000"/>
          <w:sz w:val="32"/>
          <w:szCs w:val="32"/>
        </w:rPr>
        <w:t>项</w:t>
      </w:r>
      <w:r>
        <w:rPr>
          <w:rStyle w:val="16"/>
          <w:rFonts w:hint="eastAsia" w:ascii="仿宋_GB2312" w:hAnsi="仿宋_GB2312" w:eastAsia="仿宋_GB2312" w:cs="仿宋_GB2312"/>
          <w:b/>
          <w:bCs w:val="0"/>
          <w:color w:val="000000"/>
          <w:sz w:val="32"/>
          <w:szCs w:val="32"/>
          <w:lang w:val="en-US" w:eastAsia="zh-CN"/>
        </w:rPr>
        <w:t>）：</w:t>
      </w:r>
      <w:r>
        <w:rPr>
          <w:rStyle w:val="16"/>
          <w:rFonts w:hint="eastAsia" w:ascii="仿宋_GB2312" w:hAnsi="仿宋_GB2312" w:eastAsia="仿宋_GB2312" w:cs="仿宋_GB2312"/>
          <w:b w:val="0"/>
          <w:bCs/>
          <w:color w:val="000000"/>
          <w:sz w:val="32"/>
          <w:szCs w:val="32"/>
          <w:lang w:val="en-US" w:eastAsia="zh-CN"/>
        </w:rPr>
        <w:t>支出决算为131.66万元，与预算数持平</w:t>
      </w:r>
      <w:r>
        <w:rPr>
          <w:rStyle w:val="16"/>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textAlignment w:val="auto"/>
        <w:rPr>
          <w:rStyle w:val="16"/>
          <w:rFonts w:hint="eastAsia" w:ascii="仿宋_GB2312" w:hAnsi="仿宋_GB2312" w:eastAsia="仿宋_GB2312" w:cs="仿宋_GB2312"/>
          <w:b w:val="0"/>
          <w:bCs/>
          <w:color w:val="000000"/>
          <w:sz w:val="32"/>
          <w:szCs w:val="32"/>
          <w:lang w:eastAsia="zh-CN"/>
        </w:rPr>
      </w:pPr>
      <w:r>
        <w:rPr>
          <w:rStyle w:val="16"/>
          <w:rFonts w:hint="eastAsia" w:ascii="仿宋_GB2312" w:hAnsi="仿宋_GB2312" w:eastAsia="仿宋_GB2312" w:cs="仿宋_GB2312"/>
          <w:bCs/>
          <w:color w:val="000000"/>
          <w:sz w:val="32"/>
          <w:szCs w:val="32"/>
          <w:lang w:val="en-US" w:eastAsia="zh-CN"/>
        </w:rPr>
        <w:t>14</w:t>
      </w:r>
      <w:r>
        <w:rPr>
          <w:rStyle w:val="16"/>
          <w:rFonts w:hint="eastAsia" w:ascii="仿宋_GB2312" w:hAnsi="仿宋_GB2312" w:eastAsia="仿宋_GB2312" w:cs="仿宋_GB2312"/>
          <w:bCs/>
          <w:color w:val="000000"/>
          <w:sz w:val="32"/>
          <w:szCs w:val="32"/>
        </w:rPr>
        <w:t>.</w:t>
      </w:r>
      <w:r>
        <w:rPr>
          <w:rFonts w:hint="eastAsia" w:ascii="仿宋_GB2312" w:hAnsi="仿宋_GB2312" w:eastAsia="仿宋_GB2312" w:cs="仿宋_GB2312"/>
          <w:b/>
          <w:bCs/>
          <w:color w:val="000000" w:themeColor="text1"/>
          <w:sz w:val="32"/>
          <w:szCs w:val="32"/>
          <w14:textFill>
            <w14:solidFill>
              <w14:schemeClr w14:val="tx1"/>
            </w14:solidFill>
          </w14:textFill>
        </w:rPr>
        <w:t>卫生健康</w:t>
      </w:r>
      <w:r>
        <w:rPr>
          <w:rStyle w:val="16"/>
          <w:rFonts w:hint="eastAsia" w:ascii="仿宋_GB2312" w:hAnsi="仿宋_GB2312" w:eastAsia="仿宋_GB2312" w:cs="仿宋_GB2312"/>
          <w:bCs/>
          <w:color w:val="000000"/>
          <w:sz w:val="32"/>
          <w:szCs w:val="32"/>
        </w:rPr>
        <w:t>（类）</w:t>
      </w:r>
      <w:r>
        <w:rPr>
          <w:rStyle w:val="16"/>
          <w:rFonts w:hint="eastAsia" w:ascii="仿宋_GB2312" w:hAnsi="仿宋_GB2312" w:eastAsia="仿宋_GB2312" w:cs="仿宋_GB2312"/>
          <w:bCs/>
          <w:color w:val="000000"/>
          <w:sz w:val="32"/>
          <w:szCs w:val="32"/>
          <w:lang w:val="en-US" w:eastAsia="zh-CN"/>
        </w:rPr>
        <w:t>行政事业单位医疗</w:t>
      </w:r>
      <w:r>
        <w:rPr>
          <w:rStyle w:val="16"/>
          <w:rFonts w:hint="eastAsia" w:ascii="仿宋_GB2312" w:hAnsi="仿宋_GB2312" w:eastAsia="仿宋_GB2312" w:cs="仿宋_GB2312"/>
          <w:bCs/>
          <w:color w:val="000000"/>
          <w:sz w:val="32"/>
          <w:szCs w:val="32"/>
        </w:rPr>
        <w:t>（款）</w:t>
      </w:r>
      <w:r>
        <w:rPr>
          <w:rStyle w:val="16"/>
          <w:rFonts w:hint="eastAsia" w:ascii="仿宋_GB2312" w:hAnsi="仿宋_GB2312" w:eastAsia="仿宋_GB2312" w:cs="仿宋_GB2312"/>
          <w:bCs/>
          <w:color w:val="000000"/>
          <w:sz w:val="32"/>
          <w:szCs w:val="32"/>
          <w:lang w:val="en-US" w:eastAsia="zh-CN"/>
        </w:rPr>
        <w:t>行政单位医疗（</w:t>
      </w:r>
      <w:r>
        <w:rPr>
          <w:rStyle w:val="16"/>
          <w:rFonts w:hint="eastAsia" w:ascii="仿宋_GB2312" w:hAnsi="仿宋_GB2312" w:eastAsia="仿宋_GB2312" w:cs="仿宋_GB2312"/>
          <w:bCs/>
          <w:color w:val="000000"/>
          <w:sz w:val="32"/>
          <w:szCs w:val="32"/>
        </w:rPr>
        <w:t>项</w:t>
      </w:r>
      <w:r>
        <w:rPr>
          <w:rStyle w:val="16"/>
          <w:rFonts w:hint="eastAsia" w:ascii="仿宋_GB2312" w:hAnsi="仿宋_GB2312" w:eastAsia="仿宋_GB2312" w:cs="仿宋_GB2312"/>
          <w:bCs/>
          <w:color w:val="000000"/>
          <w:sz w:val="32"/>
          <w:szCs w:val="32"/>
          <w:lang w:val="en-US" w:eastAsia="zh-CN"/>
        </w:rPr>
        <w:t>）：</w:t>
      </w:r>
      <w:r>
        <w:rPr>
          <w:rStyle w:val="16"/>
          <w:rFonts w:hint="eastAsia" w:ascii="仿宋_GB2312" w:hAnsi="仿宋_GB2312" w:eastAsia="仿宋_GB2312" w:cs="仿宋_GB2312"/>
          <w:b w:val="0"/>
          <w:bCs/>
          <w:color w:val="000000"/>
          <w:sz w:val="32"/>
          <w:szCs w:val="32"/>
        </w:rPr>
        <w:t>支出决算为</w:t>
      </w:r>
      <w:r>
        <w:rPr>
          <w:rStyle w:val="16"/>
          <w:rFonts w:hint="eastAsia" w:ascii="仿宋_GB2312" w:hAnsi="仿宋_GB2312" w:eastAsia="仿宋_GB2312" w:cs="仿宋_GB2312"/>
          <w:b w:val="0"/>
          <w:bCs/>
          <w:color w:val="000000"/>
          <w:sz w:val="32"/>
          <w:szCs w:val="32"/>
          <w:lang w:val="en-US" w:eastAsia="zh-CN"/>
        </w:rPr>
        <w:t>102.3</w:t>
      </w:r>
      <w:r>
        <w:rPr>
          <w:rStyle w:val="16"/>
          <w:rFonts w:hint="eastAsia" w:ascii="仿宋_GB2312" w:hAnsi="仿宋_GB2312" w:eastAsia="仿宋_GB2312" w:cs="仿宋_GB2312"/>
          <w:b w:val="0"/>
          <w:bCs/>
          <w:color w:val="000000"/>
          <w:sz w:val="32"/>
          <w:szCs w:val="32"/>
        </w:rPr>
        <w:t>万元</w:t>
      </w:r>
      <w:r>
        <w:rPr>
          <w:rStyle w:val="16"/>
          <w:rFonts w:hint="eastAsia" w:ascii="仿宋_GB2312" w:hAnsi="仿宋_GB2312" w:eastAsia="仿宋_GB2312" w:cs="仿宋_GB2312"/>
          <w:b w:val="0"/>
          <w:bCs/>
          <w:color w:val="000000"/>
          <w:sz w:val="32"/>
          <w:szCs w:val="32"/>
          <w:lang w:eastAsia="zh-CN"/>
        </w:rPr>
        <w:t>，</w:t>
      </w:r>
      <w:r>
        <w:rPr>
          <w:rStyle w:val="16"/>
          <w:rFonts w:hint="eastAsia" w:ascii="仿宋_GB2312" w:hAnsi="仿宋_GB2312" w:eastAsia="仿宋_GB2312" w:cs="仿宋_GB2312"/>
          <w:b w:val="0"/>
          <w:bCs/>
          <w:color w:val="000000"/>
          <w:sz w:val="32"/>
          <w:szCs w:val="32"/>
          <w:lang w:val="en-US" w:eastAsia="zh-CN"/>
        </w:rPr>
        <w:t>与预算数持平</w:t>
      </w:r>
      <w:r>
        <w:rPr>
          <w:rStyle w:val="16"/>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textAlignment w:val="auto"/>
        <w:rPr>
          <w:rStyle w:val="16"/>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b/>
          <w:bCs/>
          <w:color w:val="000000" w:themeColor="text1"/>
          <w:sz w:val="32"/>
          <w:szCs w:val="32"/>
          <w14:textFill>
            <w14:solidFill>
              <w14:schemeClr w14:val="tx1"/>
            </w14:solidFill>
          </w14:textFill>
        </w:rPr>
        <w:t>卫生健康</w:t>
      </w:r>
      <w:r>
        <w:rPr>
          <w:rStyle w:val="16"/>
          <w:rFonts w:hint="eastAsia" w:ascii="仿宋_GB2312" w:hAnsi="仿宋_GB2312" w:eastAsia="仿宋_GB2312" w:cs="仿宋_GB2312"/>
          <w:bCs/>
          <w:color w:val="000000"/>
          <w:sz w:val="32"/>
          <w:szCs w:val="32"/>
        </w:rPr>
        <w:t>（类）</w:t>
      </w:r>
      <w:r>
        <w:rPr>
          <w:rStyle w:val="16"/>
          <w:rFonts w:hint="eastAsia" w:ascii="仿宋_GB2312" w:hAnsi="仿宋_GB2312" w:eastAsia="仿宋_GB2312" w:cs="仿宋_GB2312"/>
          <w:bCs/>
          <w:color w:val="000000"/>
          <w:sz w:val="32"/>
          <w:szCs w:val="32"/>
          <w:lang w:val="en-US" w:eastAsia="zh-CN"/>
        </w:rPr>
        <w:t>行政事业单位医疗</w:t>
      </w:r>
      <w:r>
        <w:rPr>
          <w:rStyle w:val="16"/>
          <w:rFonts w:hint="eastAsia" w:ascii="仿宋_GB2312" w:hAnsi="仿宋_GB2312" w:eastAsia="仿宋_GB2312" w:cs="仿宋_GB2312"/>
          <w:bCs/>
          <w:color w:val="000000"/>
          <w:sz w:val="32"/>
          <w:szCs w:val="32"/>
        </w:rPr>
        <w:t>（款）</w:t>
      </w:r>
      <w:r>
        <w:rPr>
          <w:rStyle w:val="16"/>
          <w:rFonts w:hint="eastAsia" w:ascii="仿宋_GB2312" w:hAnsi="仿宋_GB2312" w:eastAsia="仿宋_GB2312" w:cs="仿宋_GB2312"/>
          <w:bCs/>
          <w:color w:val="000000"/>
          <w:sz w:val="32"/>
          <w:szCs w:val="32"/>
          <w:lang w:val="en-US" w:eastAsia="zh-CN"/>
        </w:rPr>
        <w:t>公务员医疗补助</w:t>
      </w:r>
      <w:r>
        <w:rPr>
          <w:rStyle w:val="16"/>
          <w:rFonts w:hint="eastAsia" w:ascii="仿宋_GB2312" w:hAnsi="仿宋_GB2312" w:eastAsia="仿宋_GB2312" w:cs="仿宋_GB2312"/>
          <w:bCs/>
          <w:color w:val="000000"/>
          <w:sz w:val="32"/>
          <w:szCs w:val="32"/>
        </w:rPr>
        <w:t>（项）:</w:t>
      </w:r>
      <w:r>
        <w:rPr>
          <w:rStyle w:val="16"/>
          <w:rFonts w:hint="eastAsia" w:ascii="仿宋_GB2312" w:hAnsi="仿宋_GB2312" w:eastAsia="仿宋_GB2312" w:cs="仿宋_GB2312"/>
          <w:b w:val="0"/>
          <w:bCs/>
          <w:color w:val="000000"/>
          <w:sz w:val="32"/>
          <w:szCs w:val="32"/>
        </w:rPr>
        <w:t>支出决算为</w:t>
      </w:r>
      <w:r>
        <w:rPr>
          <w:rStyle w:val="16"/>
          <w:rFonts w:hint="eastAsia" w:ascii="仿宋_GB2312" w:hAnsi="仿宋_GB2312" w:eastAsia="仿宋_GB2312" w:cs="仿宋_GB2312"/>
          <w:b w:val="0"/>
          <w:bCs/>
          <w:color w:val="000000"/>
          <w:sz w:val="32"/>
          <w:szCs w:val="32"/>
          <w:lang w:val="en-US" w:eastAsia="zh-CN"/>
        </w:rPr>
        <w:t>34.78</w:t>
      </w:r>
      <w:r>
        <w:rPr>
          <w:rStyle w:val="16"/>
          <w:rFonts w:hint="eastAsia" w:ascii="仿宋_GB2312" w:hAnsi="仿宋_GB2312" w:eastAsia="仿宋_GB2312" w:cs="仿宋_GB2312"/>
          <w:b w:val="0"/>
          <w:bCs/>
          <w:color w:val="000000"/>
          <w:sz w:val="32"/>
          <w:szCs w:val="32"/>
        </w:rPr>
        <w:t>万元</w:t>
      </w:r>
      <w:r>
        <w:rPr>
          <w:rStyle w:val="16"/>
          <w:rFonts w:hint="eastAsia" w:ascii="仿宋_GB2312" w:hAnsi="仿宋_GB2312" w:eastAsia="仿宋_GB2312" w:cs="仿宋_GB2312"/>
          <w:b w:val="0"/>
          <w:bCs/>
          <w:color w:val="000000"/>
          <w:sz w:val="32"/>
          <w:szCs w:val="32"/>
          <w:lang w:eastAsia="zh-CN"/>
        </w:rPr>
        <w:t>，</w:t>
      </w:r>
      <w:r>
        <w:rPr>
          <w:rStyle w:val="16"/>
          <w:rFonts w:hint="eastAsia" w:ascii="仿宋_GB2312" w:hAnsi="仿宋_GB2312" w:eastAsia="仿宋_GB2312" w:cs="仿宋_GB2312"/>
          <w:b w:val="0"/>
          <w:bCs/>
          <w:color w:val="000000"/>
          <w:sz w:val="32"/>
          <w:szCs w:val="32"/>
          <w:lang w:val="en-US" w:eastAsia="zh-CN"/>
        </w:rPr>
        <w:t>与预算数持平</w:t>
      </w:r>
      <w:r>
        <w:rPr>
          <w:rStyle w:val="16"/>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textAlignment w:val="auto"/>
        <w:rPr>
          <w:rStyle w:val="16"/>
          <w:rFonts w:hint="eastAsia" w:ascii="仿宋_GB2312" w:hAnsi="仿宋_GB2312" w:eastAsia="仿宋_GB2312" w:cs="仿宋_GB2312"/>
          <w:b w:val="0"/>
          <w:bCs/>
          <w:color w:val="000000"/>
          <w:sz w:val="32"/>
          <w:szCs w:val="32"/>
          <w:lang w:eastAsia="zh-CN"/>
        </w:rPr>
      </w:pPr>
      <w:r>
        <w:rPr>
          <w:rStyle w:val="16"/>
          <w:rFonts w:hint="eastAsia" w:ascii="仿宋_GB2312" w:hAnsi="仿宋_GB2312" w:eastAsia="仿宋_GB2312" w:cs="仿宋_GB2312"/>
          <w:bCs/>
          <w:color w:val="000000"/>
          <w:sz w:val="32"/>
          <w:szCs w:val="32"/>
          <w:lang w:val="en-US" w:eastAsia="zh-CN"/>
        </w:rPr>
        <w:t>16.商业服务业等支出</w:t>
      </w:r>
      <w:r>
        <w:rPr>
          <w:rStyle w:val="16"/>
          <w:rFonts w:hint="eastAsia" w:ascii="仿宋_GB2312" w:hAnsi="仿宋_GB2312" w:eastAsia="仿宋_GB2312" w:cs="仿宋_GB2312"/>
          <w:bCs/>
          <w:color w:val="000000"/>
          <w:sz w:val="32"/>
          <w:szCs w:val="32"/>
        </w:rPr>
        <w:t>（类）</w:t>
      </w:r>
      <w:r>
        <w:rPr>
          <w:rStyle w:val="16"/>
          <w:rFonts w:hint="eastAsia" w:ascii="仿宋_GB2312" w:hAnsi="仿宋_GB2312" w:eastAsia="仿宋_GB2312" w:cs="仿宋_GB2312"/>
          <w:bCs/>
          <w:color w:val="000000"/>
          <w:sz w:val="32"/>
          <w:szCs w:val="32"/>
          <w:lang w:val="en-US" w:eastAsia="zh-CN"/>
        </w:rPr>
        <w:t>商业流通事务</w:t>
      </w:r>
      <w:r>
        <w:rPr>
          <w:rStyle w:val="16"/>
          <w:rFonts w:hint="eastAsia" w:ascii="仿宋_GB2312" w:hAnsi="仿宋_GB2312" w:eastAsia="仿宋_GB2312" w:cs="仿宋_GB2312"/>
          <w:bCs/>
          <w:color w:val="000000"/>
          <w:sz w:val="32"/>
          <w:szCs w:val="32"/>
        </w:rPr>
        <w:t>（款）</w:t>
      </w:r>
      <w:r>
        <w:rPr>
          <w:rStyle w:val="16"/>
          <w:rFonts w:hint="eastAsia" w:ascii="仿宋_GB2312" w:hAnsi="仿宋_GB2312" w:eastAsia="仿宋_GB2312" w:cs="仿宋_GB2312"/>
          <w:bCs/>
          <w:color w:val="000000"/>
          <w:sz w:val="32"/>
          <w:szCs w:val="32"/>
          <w:lang w:val="en-US" w:eastAsia="zh-CN"/>
        </w:rPr>
        <w:t>行政运行（</w:t>
      </w:r>
      <w:r>
        <w:rPr>
          <w:rStyle w:val="16"/>
          <w:rFonts w:hint="eastAsia" w:ascii="仿宋_GB2312" w:hAnsi="仿宋_GB2312" w:eastAsia="仿宋_GB2312" w:cs="仿宋_GB2312"/>
          <w:bCs/>
          <w:color w:val="000000"/>
          <w:sz w:val="32"/>
          <w:szCs w:val="32"/>
        </w:rPr>
        <w:t>项）:</w:t>
      </w:r>
      <w:r>
        <w:rPr>
          <w:rStyle w:val="16"/>
          <w:rFonts w:hint="eastAsia" w:ascii="仿宋_GB2312" w:hAnsi="仿宋_GB2312" w:eastAsia="仿宋_GB2312" w:cs="仿宋_GB2312"/>
          <w:b w:val="0"/>
          <w:bCs/>
          <w:color w:val="000000"/>
          <w:sz w:val="32"/>
          <w:szCs w:val="32"/>
        </w:rPr>
        <w:t xml:space="preserve"> 支出决算为</w:t>
      </w:r>
      <w:r>
        <w:rPr>
          <w:rStyle w:val="16"/>
          <w:rFonts w:hint="eastAsia" w:ascii="仿宋_GB2312" w:hAnsi="仿宋_GB2312" w:eastAsia="仿宋_GB2312" w:cs="仿宋_GB2312"/>
          <w:b w:val="0"/>
          <w:bCs/>
          <w:color w:val="000000"/>
          <w:sz w:val="32"/>
          <w:szCs w:val="32"/>
          <w:lang w:val="en-US" w:eastAsia="zh-CN"/>
        </w:rPr>
        <w:t>1221.7</w:t>
      </w:r>
      <w:r>
        <w:rPr>
          <w:rStyle w:val="16"/>
          <w:rFonts w:hint="eastAsia" w:ascii="仿宋_GB2312" w:hAnsi="仿宋_GB2312" w:eastAsia="仿宋_GB2312" w:cs="仿宋_GB2312"/>
          <w:b w:val="0"/>
          <w:bCs/>
          <w:color w:val="000000"/>
          <w:sz w:val="32"/>
          <w:szCs w:val="32"/>
        </w:rPr>
        <w:t>万元，完成预算</w:t>
      </w:r>
      <w:r>
        <w:rPr>
          <w:rStyle w:val="16"/>
          <w:rFonts w:hint="eastAsia" w:ascii="仿宋_GB2312" w:hAnsi="仿宋_GB2312" w:eastAsia="仿宋_GB2312" w:cs="仿宋_GB2312"/>
          <w:b w:val="0"/>
          <w:bCs/>
          <w:color w:val="000000"/>
          <w:sz w:val="32"/>
          <w:szCs w:val="32"/>
          <w:lang w:val="en-US" w:eastAsia="zh-CN"/>
        </w:rPr>
        <w:t>99.67</w:t>
      </w:r>
      <w:r>
        <w:rPr>
          <w:rStyle w:val="16"/>
          <w:rFonts w:hint="eastAsia" w:ascii="仿宋_GB2312" w:hAnsi="仿宋_GB2312" w:eastAsia="仿宋_GB2312" w:cs="仿宋_GB2312"/>
          <w:b w:val="0"/>
          <w:bCs/>
          <w:color w:val="000000"/>
          <w:sz w:val="32"/>
          <w:szCs w:val="32"/>
        </w:rPr>
        <w:t>%，决算数</w:t>
      </w:r>
      <w:r>
        <w:rPr>
          <w:rStyle w:val="16"/>
          <w:rFonts w:hint="eastAsia" w:ascii="仿宋_GB2312" w:hAnsi="仿宋_GB2312" w:eastAsia="仿宋_GB2312" w:cs="仿宋_GB2312"/>
          <w:b w:val="0"/>
          <w:bCs/>
          <w:color w:val="000000"/>
          <w:sz w:val="32"/>
          <w:szCs w:val="32"/>
          <w:lang w:val="en-US" w:eastAsia="zh-CN"/>
        </w:rPr>
        <w:t>小于</w:t>
      </w:r>
      <w:r>
        <w:rPr>
          <w:rStyle w:val="16"/>
          <w:rFonts w:hint="eastAsia" w:ascii="仿宋_GB2312" w:hAnsi="仿宋_GB2312" w:eastAsia="仿宋_GB2312" w:cs="仿宋_GB2312"/>
          <w:b w:val="0"/>
          <w:bCs/>
          <w:color w:val="000000"/>
          <w:sz w:val="32"/>
          <w:szCs w:val="32"/>
        </w:rPr>
        <w:t>预算数的主要原因</w:t>
      </w:r>
      <w:r>
        <w:rPr>
          <w:rStyle w:val="16"/>
          <w:rFonts w:hint="eastAsia" w:ascii="仿宋_GB2312" w:hAnsi="仿宋_GB2312" w:eastAsia="仿宋_GB2312" w:cs="仿宋_GB2312"/>
          <w:b w:val="0"/>
          <w:bCs/>
          <w:color w:val="000000"/>
          <w:sz w:val="32"/>
          <w:szCs w:val="32"/>
          <w:lang w:val="en-US" w:eastAsia="zh-CN"/>
        </w:rPr>
        <w:t>公务接待费结余4.1万元</w:t>
      </w:r>
      <w:r>
        <w:rPr>
          <w:rStyle w:val="16"/>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textAlignment w:val="auto"/>
        <w:rPr>
          <w:rStyle w:val="16"/>
          <w:rFonts w:hint="eastAsia" w:ascii="仿宋_GB2312" w:hAnsi="仿宋_GB2312" w:eastAsia="仿宋_GB2312" w:cs="仿宋_GB2312"/>
          <w:b w:val="0"/>
          <w:bCs/>
          <w:color w:val="000000"/>
          <w:sz w:val="32"/>
          <w:szCs w:val="32"/>
          <w:lang w:eastAsia="zh-CN"/>
        </w:rPr>
      </w:pPr>
      <w:r>
        <w:rPr>
          <w:rStyle w:val="16"/>
          <w:rFonts w:hint="eastAsia" w:ascii="仿宋_GB2312" w:hAnsi="仿宋_GB2312" w:eastAsia="仿宋_GB2312" w:cs="仿宋_GB2312"/>
          <w:bCs/>
          <w:color w:val="000000"/>
          <w:sz w:val="32"/>
          <w:szCs w:val="32"/>
          <w:lang w:val="en-US" w:eastAsia="zh-CN"/>
        </w:rPr>
        <w:t>17.商业服务业等支出</w:t>
      </w:r>
      <w:r>
        <w:rPr>
          <w:rStyle w:val="16"/>
          <w:rFonts w:hint="eastAsia" w:ascii="仿宋_GB2312" w:hAnsi="仿宋_GB2312" w:eastAsia="仿宋_GB2312" w:cs="仿宋_GB2312"/>
          <w:bCs/>
          <w:color w:val="000000"/>
          <w:sz w:val="32"/>
          <w:szCs w:val="32"/>
        </w:rPr>
        <w:t>（类）</w:t>
      </w:r>
      <w:r>
        <w:rPr>
          <w:rStyle w:val="16"/>
          <w:rFonts w:hint="eastAsia" w:ascii="仿宋_GB2312" w:hAnsi="仿宋_GB2312" w:eastAsia="仿宋_GB2312" w:cs="仿宋_GB2312"/>
          <w:bCs/>
          <w:color w:val="000000"/>
          <w:sz w:val="32"/>
          <w:szCs w:val="32"/>
          <w:lang w:val="en-US" w:eastAsia="zh-CN"/>
        </w:rPr>
        <w:t>商业流通事务</w:t>
      </w:r>
      <w:r>
        <w:rPr>
          <w:rStyle w:val="16"/>
          <w:rFonts w:hint="eastAsia" w:ascii="仿宋_GB2312" w:hAnsi="仿宋_GB2312" w:eastAsia="仿宋_GB2312" w:cs="仿宋_GB2312"/>
          <w:bCs/>
          <w:color w:val="000000"/>
          <w:sz w:val="32"/>
          <w:szCs w:val="32"/>
        </w:rPr>
        <w:t>（款）</w:t>
      </w:r>
      <w:r>
        <w:rPr>
          <w:rStyle w:val="16"/>
          <w:rFonts w:hint="eastAsia" w:ascii="仿宋_GB2312" w:hAnsi="仿宋_GB2312" w:eastAsia="仿宋_GB2312" w:cs="仿宋_GB2312"/>
          <w:b/>
          <w:bCs w:val="0"/>
          <w:color w:val="000000"/>
          <w:sz w:val="32"/>
          <w:szCs w:val="32"/>
          <w:lang w:val="en-US" w:eastAsia="zh-CN"/>
        </w:rPr>
        <w:t>一般行政管理事务（项）：</w:t>
      </w:r>
      <w:r>
        <w:rPr>
          <w:rStyle w:val="16"/>
          <w:rFonts w:hint="eastAsia" w:ascii="仿宋_GB2312" w:hAnsi="仿宋_GB2312" w:eastAsia="仿宋_GB2312" w:cs="仿宋_GB2312"/>
          <w:b w:val="0"/>
          <w:bCs/>
          <w:color w:val="000000"/>
          <w:sz w:val="32"/>
          <w:szCs w:val="32"/>
        </w:rPr>
        <w:t>支出决算为</w:t>
      </w:r>
      <w:r>
        <w:rPr>
          <w:rStyle w:val="16"/>
          <w:rFonts w:hint="eastAsia" w:ascii="仿宋_GB2312" w:hAnsi="仿宋_GB2312" w:eastAsia="仿宋_GB2312" w:cs="仿宋_GB2312"/>
          <w:b w:val="0"/>
          <w:bCs/>
          <w:color w:val="000000"/>
          <w:sz w:val="32"/>
          <w:szCs w:val="32"/>
          <w:lang w:val="en-US" w:eastAsia="zh-CN"/>
        </w:rPr>
        <w:t>210.03</w:t>
      </w:r>
      <w:r>
        <w:rPr>
          <w:rStyle w:val="16"/>
          <w:rFonts w:hint="eastAsia" w:ascii="仿宋_GB2312" w:hAnsi="仿宋_GB2312" w:eastAsia="仿宋_GB2312" w:cs="仿宋_GB2312"/>
          <w:b w:val="0"/>
          <w:bCs/>
          <w:color w:val="000000"/>
          <w:sz w:val="32"/>
          <w:szCs w:val="32"/>
        </w:rPr>
        <w:t>万元，完成预算</w:t>
      </w:r>
      <w:r>
        <w:rPr>
          <w:rStyle w:val="16"/>
          <w:rFonts w:hint="eastAsia" w:ascii="仿宋_GB2312" w:hAnsi="仿宋_GB2312" w:eastAsia="仿宋_GB2312" w:cs="仿宋_GB2312"/>
          <w:b w:val="0"/>
          <w:bCs/>
          <w:color w:val="000000"/>
          <w:sz w:val="32"/>
          <w:szCs w:val="32"/>
          <w:lang w:val="en-US" w:eastAsia="zh-CN"/>
        </w:rPr>
        <w:t>94.95</w:t>
      </w:r>
      <w:r>
        <w:rPr>
          <w:rStyle w:val="16"/>
          <w:rFonts w:hint="eastAsia" w:ascii="仿宋_GB2312" w:hAnsi="仿宋_GB2312" w:eastAsia="仿宋_GB2312" w:cs="仿宋_GB2312"/>
          <w:b w:val="0"/>
          <w:bCs/>
          <w:color w:val="000000"/>
          <w:sz w:val="32"/>
          <w:szCs w:val="32"/>
        </w:rPr>
        <w:t>%</w:t>
      </w:r>
      <w:r>
        <w:rPr>
          <w:rStyle w:val="16"/>
          <w:rFonts w:hint="eastAsia" w:ascii="仿宋_GB2312" w:hAnsi="仿宋_GB2312" w:eastAsia="仿宋_GB2312" w:cs="仿宋_GB2312"/>
          <w:b w:val="0"/>
          <w:bCs/>
          <w:color w:val="000000"/>
          <w:sz w:val="32"/>
          <w:szCs w:val="32"/>
          <w:lang w:eastAsia="zh-CN"/>
        </w:rPr>
        <w:t>，</w:t>
      </w:r>
      <w:r>
        <w:rPr>
          <w:rStyle w:val="16"/>
          <w:rFonts w:hint="eastAsia" w:ascii="仿宋_GB2312" w:hAnsi="仿宋_GB2312" w:eastAsia="仿宋_GB2312" w:cs="仿宋_GB2312"/>
          <w:b w:val="0"/>
          <w:bCs/>
          <w:color w:val="000000"/>
          <w:sz w:val="32"/>
          <w:szCs w:val="32"/>
          <w:lang w:val="en-US" w:eastAsia="zh-CN"/>
        </w:rPr>
        <w:t>决</w:t>
      </w:r>
      <w:r>
        <w:rPr>
          <w:rStyle w:val="16"/>
          <w:rFonts w:hint="eastAsia" w:ascii="仿宋_GB2312" w:hAnsi="仿宋_GB2312" w:eastAsia="仿宋_GB2312" w:cs="仿宋_GB2312"/>
          <w:b w:val="0"/>
          <w:bCs/>
          <w:color w:val="000000"/>
          <w:sz w:val="32"/>
          <w:szCs w:val="32"/>
        </w:rPr>
        <w:t>算数</w:t>
      </w:r>
      <w:r>
        <w:rPr>
          <w:rStyle w:val="16"/>
          <w:rFonts w:hint="eastAsia" w:ascii="仿宋_GB2312" w:hAnsi="仿宋_GB2312" w:eastAsia="仿宋_GB2312" w:cs="仿宋_GB2312"/>
          <w:b w:val="0"/>
          <w:bCs/>
          <w:color w:val="000000"/>
          <w:sz w:val="32"/>
          <w:szCs w:val="32"/>
          <w:lang w:val="en-US" w:eastAsia="zh-CN"/>
        </w:rPr>
        <w:t>小于</w:t>
      </w:r>
      <w:r>
        <w:rPr>
          <w:rStyle w:val="16"/>
          <w:rFonts w:hint="eastAsia" w:ascii="仿宋_GB2312" w:hAnsi="仿宋_GB2312" w:eastAsia="仿宋_GB2312" w:cs="仿宋_GB2312"/>
          <w:b w:val="0"/>
          <w:bCs/>
          <w:color w:val="000000"/>
          <w:sz w:val="32"/>
          <w:szCs w:val="32"/>
        </w:rPr>
        <w:t>预算数的主要原因是</w:t>
      </w:r>
      <w:r>
        <w:rPr>
          <w:rStyle w:val="16"/>
          <w:rFonts w:hint="eastAsia" w:ascii="仿宋_GB2312" w:hAnsi="仿宋_GB2312" w:eastAsia="仿宋_GB2312" w:cs="仿宋_GB2312"/>
          <w:b w:val="0"/>
          <w:bCs/>
          <w:color w:val="000000"/>
          <w:sz w:val="32"/>
          <w:szCs w:val="32"/>
          <w:lang w:val="en-US" w:eastAsia="zh-CN"/>
        </w:rPr>
        <w:t>受疫情影响，省社机关会议费结余5.45万元</w:t>
      </w:r>
      <w:r>
        <w:rPr>
          <w:rStyle w:val="16"/>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textAlignment w:val="auto"/>
        <w:rPr>
          <w:rFonts w:hint="eastAsia" w:ascii="仿宋_GB2312" w:hAnsi="仿宋_GB2312" w:eastAsia="仿宋_GB2312" w:cs="仿宋_GB2312"/>
          <w:b/>
          <w:color w:val="000000"/>
          <w:sz w:val="32"/>
          <w:szCs w:val="32"/>
        </w:rPr>
      </w:pPr>
      <w:r>
        <w:rPr>
          <w:rStyle w:val="16"/>
          <w:rFonts w:hint="eastAsia" w:ascii="仿宋_GB2312" w:hAnsi="仿宋_GB2312" w:eastAsia="仿宋_GB2312" w:cs="仿宋_GB2312"/>
          <w:bCs/>
          <w:color w:val="000000"/>
          <w:sz w:val="32"/>
          <w:szCs w:val="32"/>
          <w:lang w:val="en-US" w:eastAsia="zh-CN"/>
        </w:rPr>
        <w:t>18.商业服务业等支出</w:t>
      </w:r>
      <w:r>
        <w:rPr>
          <w:rStyle w:val="16"/>
          <w:rFonts w:hint="eastAsia" w:ascii="仿宋_GB2312" w:hAnsi="仿宋_GB2312" w:eastAsia="仿宋_GB2312" w:cs="仿宋_GB2312"/>
          <w:bCs/>
          <w:color w:val="000000"/>
          <w:sz w:val="32"/>
          <w:szCs w:val="32"/>
        </w:rPr>
        <w:t>（类）</w:t>
      </w:r>
      <w:r>
        <w:rPr>
          <w:rStyle w:val="16"/>
          <w:rFonts w:hint="eastAsia" w:ascii="仿宋_GB2312" w:hAnsi="仿宋_GB2312" w:eastAsia="仿宋_GB2312" w:cs="仿宋_GB2312"/>
          <w:bCs/>
          <w:color w:val="000000"/>
          <w:sz w:val="32"/>
          <w:szCs w:val="32"/>
          <w:lang w:val="en-US" w:eastAsia="zh-CN"/>
        </w:rPr>
        <w:t>商业流通事务</w:t>
      </w:r>
      <w:r>
        <w:rPr>
          <w:rStyle w:val="16"/>
          <w:rFonts w:hint="eastAsia" w:ascii="仿宋_GB2312" w:hAnsi="仿宋_GB2312" w:eastAsia="仿宋_GB2312" w:cs="仿宋_GB2312"/>
          <w:bCs/>
          <w:color w:val="000000"/>
          <w:sz w:val="32"/>
          <w:szCs w:val="32"/>
        </w:rPr>
        <w:t>（款）</w:t>
      </w:r>
      <w:r>
        <w:rPr>
          <w:rStyle w:val="16"/>
          <w:rFonts w:hint="eastAsia" w:ascii="仿宋_GB2312" w:hAnsi="仿宋_GB2312" w:eastAsia="仿宋_GB2312" w:cs="仿宋_GB2312"/>
          <w:b/>
          <w:bCs w:val="0"/>
          <w:color w:val="000000"/>
          <w:sz w:val="32"/>
          <w:szCs w:val="32"/>
          <w:lang w:val="en-US" w:eastAsia="zh-CN"/>
        </w:rPr>
        <w:t>其他商业流通事务支出（项）：</w:t>
      </w:r>
      <w:r>
        <w:rPr>
          <w:rStyle w:val="16"/>
          <w:rFonts w:hint="eastAsia" w:ascii="仿宋_GB2312" w:hAnsi="仿宋_GB2312" w:eastAsia="仿宋_GB2312" w:cs="仿宋_GB2312"/>
          <w:b w:val="0"/>
          <w:bCs/>
          <w:color w:val="000000"/>
          <w:sz w:val="32"/>
          <w:szCs w:val="32"/>
        </w:rPr>
        <w:t>支出决算为</w:t>
      </w:r>
      <w:r>
        <w:rPr>
          <w:rStyle w:val="16"/>
          <w:rFonts w:hint="eastAsia" w:ascii="仿宋_GB2312" w:hAnsi="仿宋_GB2312" w:eastAsia="仿宋_GB2312" w:cs="仿宋_GB2312"/>
          <w:b w:val="0"/>
          <w:bCs/>
          <w:color w:val="000000"/>
          <w:sz w:val="32"/>
          <w:szCs w:val="32"/>
          <w:lang w:val="en-US" w:eastAsia="zh-CN"/>
        </w:rPr>
        <w:t>121.22</w:t>
      </w:r>
      <w:r>
        <w:rPr>
          <w:rStyle w:val="16"/>
          <w:rFonts w:hint="eastAsia" w:ascii="仿宋_GB2312" w:hAnsi="仿宋_GB2312" w:eastAsia="仿宋_GB2312" w:cs="仿宋_GB2312"/>
          <w:b w:val="0"/>
          <w:bCs/>
          <w:color w:val="000000"/>
          <w:sz w:val="32"/>
          <w:szCs w:val="32"/>
        </w:rPr>
        <w:t>万元，完成预算</w:t>
      </w:r>
      <w:r>
        <w:rPr>
          <w:rStyle w:val="16"/>
          <w:rFonts w:hint="eastAsia" w:ascii="仿宋_GB2312" w:hAnsi="仿宋_GB2312" w:eastAsia="仿宋_GB2312" w:cs="仿宋_GB2312"/>
          <w:b w:val="0"/>
          <w:bCs/>
          <w:color w:val="000000"/>
          <w:sz w:val="32"/>
          <w:szCs w:val="32"/>
          <w:lang w:val="en-US" w:eastAsia="zh-CN"/>
        </w:rPr>
        <w:t>88.68</w:t>
      </w:r>
      <w:r>
        <w:rPr>
          <w:rStyle w:val="16"/>
          <w:rFonts w:hint="eastAsia" w:ascii="仿宋_GB2312" w:hAnsi="仿宋_GB2312" w:eastAsia="仿宋_GB2312" w:cs="仿宋_GB2312"/>
          <w:b w:val="0"/>
          <w:bCs/>
          <w:color w:val="000000"/>
          <w:sz w:val="32"/>
          <w:szCs w:val="32"/>
        </w:rPr>
        <w:t>%</w:t>
      </w:r>
      <w:r>
        <w:rPr>
          <w:rStyle w:val="16"/>
          <w:rFonts w:hint="eastAsia" w:ascii="仿宋_GB2312" w:hAnsi="仿宋_GB2312" w:eastAsia="仿宋_GB2312" w:cs="仿宋_GB2312"/>
          <w:b w:val="0"/>
          <w:bCs/>
          <w:color w:val="000000"/>
          <w:sz w:val="32"/>
          <w:szCs w:val="32"/>
          <w:lang w:eastAsia="zh-CN"/>
        </w:rPr>
        <w:t>，</w:t>
      </w:r>
      <w:r>
        <w:rPr>
          <w:rStyle w:val="16"/>
          <w:rFonts w:hint="eastAsia" w:ascii="仿宋_GB2312" w:hAnsi="仿宋_GB2312" w:eastAsia="仿宋_GB2312" w:cs="仿宋_GB2312"/>
          <w:b w:val="0"/>
          <w:bCs/>
          <w:color w:val="000000"/>
          <w:sz w:val="32"/>
          <w:szCs w:val="32"/>
        </w:rPr>
        <w:t>决算数</w:t>
      </w:r>
      <w:r>
        <w:rPr>
          <w:rStyle w:val="16"/>
          <w:rFonts w:hint="eastAsia" w:ascii="仿宋_GB2312" w:hAnsi="仿宋_GB2312" w:eastAsia="仿宋_GB2312" w:cs="仿宋_GB2312"/>
          <w:b w:val="0"/>
          <w:bCs/>
          <w:color w:val="000000"/>
          <w:sz w:val="32"/>
          <w:szCs w:val="32"/>
          <w:lang w:val="en-US" w:eastAsia="zh-CN"/>
        </w:rPr>
        <w:t>小于</w:t>
      </w:r>
      <w:r>
        <w:rPr>
          <w:rStyle w:val="16"/>
          <w:rFonts w:hint="eastAsia" w:ascii="仿宋_GB2312" w:hAnsi="仿宋_GB2312" w:eastAsia="仿宋_GB2312" w:cs="仿宋_GB2312"/>
          <w:b w:val="0"/>
          <w:bCs/>
          <w:color w:val="000000"/>
          <w:sz w:val="32"/>
          <w:szCs w:val="32"/>
        </w:rPr>
        <w:t>预算数的主要原因是</w:t>
      </w:r>
      <w:r>
        <w:rPr>
          <w:rStyle w:val="16"/>
          <w:rFonts w:hint="eastAsia" w:ascii="仿宋_GB2312" w:hAnsi="仿宋_GB2312" w:eastAsia="仿宋_GB2312" w:cs="仿宋_GB2312"/>
          <w:b w:val="0"/>
          <w:bCs/>
          <w:color w:val="000000"/>
          <w:sz w:val="32"/>
          <w:szCs w:val="32"/>
          <w:lang w:val="en-US" w:eastAsia="zh-CN"/>
        </w:rPr>
        <w:t>四川省贸易学校供销综合改革及发展专项结余15.48万元，年底财政收回；</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textAlignment w:val="auto"/>
        <w:rPr>
          <w:rStyle w:val="16"/>
          <w:rFonts w:hint="eastAsia" w:ascii="仿宋_GB2312" w:hAnsi="仿宋_GB2312" w:eastAsia="仿宋_GB2312" w:cs="仿宋_GB2312"/>
          <w:b w:val="0"/>
          <w:bCs/>
          <w:color w:val="000000"/>
          <w:sz w:val="32"/>
          <w:szCs w:val="32"/>
          <w:lang w:eastAsia="zh-CN"/>
        </w:rPr>
      </w:pPr>
      <w:r>
        <w:rPr>
          <w:rStyle w:val="16"/>
          <w:rFonts w:hint="eastAsia" w:ascii="仿宋_GB2312" w:hAnsi="仿宋_GB2312" w:eastAsia="仿宋_GB2312" w:cs="仿宋_GB2312"/>
          <w:bCs/>
          <w:color w:val="000000"/>
          <w:sz w:val="32"/>
          <w:szCs w:val="32"/>
          <w:lang w:val="en-US" w:eastAsia="zh-CN"/>
        </w:rPr>
        <w:t>19</w:t>
      </w:r>
      <w:r>
        <w:rPr>
          <w:rStyle w:val="16"/>
          <w:rFonts w:hint="eastAsia" w:ascii="仿宋_GB2312" w:hAnsi="仿宋_GB2312" w:eastAsia="仿宋_GB2312" w:cs="仿宋_GB2312"/>
          <w:bCs/>
          <w:color w:val="000000"/>
          <w:sz w:val="32"/>
          <w:szCs w:val="32"/>
        </w:rPr>
        <w:t>.</w:t>
      </w:r>
      <w:r>
        <w:rPr>
          <w:rStyle w:val="16"/>
          <w:rFonts w:hint="eastAsia" w:ascii="仿宋_GB2312" w:hAnsi="仿宋_GB2312" w:eastAsia="仿宋_GB2312" w:cs="仿宋_GB2312"/>
          <w:bCs/>
          <w:color w:val="000000"/>
          <w:sz w:val="32"/>
          <w:szCs w:val="32"/>
          <w:lang w:val="en-US" w:eastAsia="zh-CN"/>
        </w:rPr>
        <w:t>住房保障支出</w:t>
      </w:r>
      <w:r>
        <w:rPr>
          <w:rStyle w:val="16"/>
          <w:rFonts w:hint="eastAsia" w:ascii="仿宋_GB2312" w:hAnsi="仿宋_GB2312" w:eastAsia="仿宋_GB2312" w:cs="仿宋_GB2312"/>
          <w:bCs/>
          <w:color w:val="000000"/>
          <w:sz w:val="32"/>
          <w:szCs w:val="32"/>
        </w:rPr>
        <w:t>（类）</w:t>
      </w:r>
      <w:r>
        <w:rPr>
          <w:rStyle w:val="16"/>
          <w:rFonts w:hint="eastAsia" w:ascii="仿宋_GB2312" w:hAnsi="仿宋_GB2312" w:eastAsia="仿宋_GB2312" w:cs="仿宋_GB2312"/>
          <w:bCs/>
          <w:color w:val="000000"/>
          <w:sz w:val="32"/>
          <w:szCs w:val="32"/>
          <w:lang w:val="en-US" w:eastAsia="zh-CN"/>
        </w:rPr>
        <w:t>住房改革支出</w:t>
      </w:r>
      <w:r>
        <w:rPr>
          <w:rStyle w:val="16"/>
          <w:rFonts w:hint="eastAsia" w:ascii="仿宋_GB2312" w:hAnsi="仿宋_GB2312" w:eastAsia="仿宋_GB2312" w:cs="仿宋_GB2312"/>
          <w:bCs/>
          <w:color w:val="000000"/>
          <w:sz w:val="32"/>
          <w:szCs w:val="32"/>
        </w:rPr>
        <w:t>（款）</w:t>
      </w:r>
      <w:r>
        <w:rPr>
          <w:rStyle w:val="16"/>
          <w:rFonts w:hint="eastAsia" w:ascii="仿宋_GB2312" w:hAnsi="仿宋_GB2312" w:eastAsia="仿宋_GB2312" w:cs="仿宋_GB2312"/>
          <w:bCs/>
          <w:color w:val="000000"/>
          <w:sz w:val="32"/>
          <w:szCs w:val="32"/>
          <w:lang w:val="en-US" w:eastAsia="zh-CN"/>
        </w:rPr>
        <w:t>住房公积金</w:t>
      </w:r>
      <w:r>
        <w:rPr>
          <w:rStyle w:val="16"/>
          <w:rFonts w:hint="eastAsia" w:ascii="仿宋_GB2312" w:hAnsi="仿宋_GB2312" w:eastAsia="仿宋_GB2312" w:cs="仿宋_GB2312"/>
          <w:bCs/>
          <w:color w:val="000000"/>
          <w:sz w:val="32"/>
          <w:szCs w:val="32"/>
        </w:rPr>
        <w:t>（项）:</w:t>
      </w:r>
      <w:r>
        <w:rPr>
          <w:rStyle w:val="16"/>
          <w:rFonts w:hint="eastAsia" w:ascii="仿宋_GB2312" w:hAnsi="仿宋_GB2312" w:eastAsia="仿宋_GB2312" w:cs="仿宋_GB2312"/>
          <w:b w:val="0"/>
          <w:bCs/>
          <w:color w:val="000000"/>
          <w:sz w:val="32"/>
          <w:szCs w:val="32"/>
        </w:rPr>
        <w:t xml:space="preserve"> 支出决算为</w:t>
      </w:r>
      <w:r>
        <w:rPr>
          <w:rStyle w:val="16"/>
          <w:rFonts w:hint="eastAsia" w:ascii="仿宋_GB2312" w:hAnsi="仿宋_GB2312" w:eastAsia="仿宋_GB2312" w:cs="仿宋_GB2312"/>
          <w:b w:val="0"/>
          <w:bCs/>
          <w:color w:val="000000"/>
          <w:sz w:val="32"/>
          <w:szCs w:val="32"/>
          <w:lang w:val="en-US" w:eastAsia="zh-CN"/>
        </w:rPr>
        <w:t>133.44</w:t>
      </w:r>
      <w:r>
        <w:rPr>
          <w:rStyle w:val="16"/>
          <w:rFonts w:hint="eastAsia" w:ascii="仿宋_GB2312" w:hAnsi="仿宋_GB2312" w:eastAsia="仿宋_GB2312" w:cs="仿宋_GB2312"/>
          <w:b w:val="0"/>
          <w:bCs/>
          <w:color w:val="000000"/>
          <w:sz w:val="32"/>
          <w:szCs w:val="32"/>
        </w:rPr>
        <w:t>万元，</w:t>
      </w:r>
      <w:r>
        <w:rPr>
          <w:rStyle w:val="16"/>
          <w:rFonts w:hint="eastAsia" w:ascii="仿宋_GB2312" w:hAnsi="仿宋_GB2312" w:eastAsia="仿宋_GB2312" w:cs="仿宋_GB2312"/>
          <w:b w:val="0"/>
          <w:bCs/>
          <w:color w:val="000000"/>
          <w:sz w:val="32"/>
          <w:szCs w:val="32"/>
          <w:lang w:val="en-US" w:eastAsia="zh-CN"/>
        </w:rPr>
        <w:t>与预算数持平</w:t>
      </w:r>
      <w:r>
        <w:rPr>
          <w:rStyle w:val="16"/>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textAlignment w:val="auto"/>
        <w:rPr>
          <w:rStyle w:val="16"/>
          <w:rFonts w:hint="eastAsia" w:ascii="仿宋_GB2312" w:hAnsi="仿宋_GB2312" w:eastAsia="仿宋_GB2312" w:cs="仿宋_GB2312"/>
          <w:b w:val="0"/>
          <w:bCs/>
          <w:color w:val="000000"/>
          <w:sz w:val="32"/>
          <w:szCs w:val="32"/>
          <w:lang w:eastAsia="zh-CN"/>
        </w:rPr>
      </w:pPr>
      <w:r>
        <w:rPr>
          <w:rStyle w:val="16"/>
          <w:rFonts w:hint="eastAsia" w:ascii="仿宋_GB2312" w:hAnsi="仿宋_GB2312" w:eastAsia="仿宋_GB2312" w:cs="仿宋_GB2312"/>
          <w:bCs/>
          <w:color w:val="000000"/>
          <w:sz w:val="32"/>
          <w:szCs w:val="32"/>
          <w:lang w:val="en-US" w:eastAsia="zh-CN"/>
        </w:rPr>
        <w:t>20.住房保障支出</w:t>
      </w:r>
      <w:r>
        <w:rPr>
          <w:rStyle w:val="16"/>
          <w:rFonts w:hint="eastAsia" w:ascii="仿宋_GB2312" w:hAnsi="仿宋_GB2312" w:eastAsia="仿宋_GB2312" w:cs="仿宋_GB2312"/>
          <w:bCs/>
          <w:color w:val="000000"/>
          <w:sz w:val="32"/>
          <w:szCs w:val="32"/>
        </w:rPr>
        <w:t>（类）</w:t>
      </w:r>
      <w:r>
        <w:rPr>
          <w:rStyle w:val="16"/>
          <w:rFonts w:hint="eastAsia" w:ascii="仿宋_GB2312" w:hAnsi="仿宋_GB2312" w:eastAsia="仿宋_GB2312" w:cs="仿宋_GB2312"/>
          <w:bCs/>
          <w:color w:val="000000"/>
          <w:sz w:val="32"/>
          <w:szCs w:val="32"/>
          <w:lang w:val="en-US" w:eastAsia="zh-CN"/>
        </w:rPr>
        <w:t>住房改革支出</w:t>
      </w:r>
      <w:r>
        <w:rPr>
          <w:rStyle w:val="16"/>
          <w:rFonts w:hint="eastAsia" w:ascii="仿宋_GB2312" w:hAnsi="仿宋_GB2312" w:eastAsia="仿宋_GB2312" w:cs="仿宋_GB2312"/>
          <w:bCs/>
          <w:color w:val="000000"/>
          <w:sz w:val="32"/>
          <w:szCs w:val="32"/>
        </w:rPr>
        <w:t>（款）</w:t>
      </w:r>
      <w:r>
        <w:rPr>
          <w:rStyle w:val="16"/>
          <w:rFonts w:hint="eastAsia" w:ascii="仿宋_GB2312" w:hAnsi="仿宋_GB2312" w:eastAsia="仿宋_GB2312" w:cs="仿宋_GB2312"/>
          <w:bCs/>
          <w:color w:val="000000"/>
          <w:sz w:val="32"/>
          <w:szCs w:val="32"/>
          <w:lang w:val="en-US" w:eastAsia="zh-CN"/>
        </w:rPr>
        <w:t>购房补贴</w:t>
      </w:r>
      <w:r>
        <w:rPr>
          <w:rStyle w:val="16"/>
          <w:rFonts w:hint="eastAsia" w:ascii="仿宋_GB2312" w:hAnsi="仿宋_GB2312" w:eastAsia="仿宋_GB2312" w:cs="仿宋_GB2312"/>
          <w:bCs/>
          <w:color w:val="000000"/>
          <w:sz w:val="32"/>
          <w:szCs w:val="32"/>
        </w:rPr>
        <w:t>（项）:</w:t>
      </w:r>
      <w:r>
        <w:rPr>
          <w:rStyle w:val="16"/>
          <w:rFonts w:hint="eastAsia" w:ascii="仿宋_GB2312" w:hAnsi="仿宋_GB2312" w:eastAsia="仿宋_GB2312" w:cs="仿宋_GB2312"/>
          <w:b w:val="0"/>
          <w:bCs/>
          <w:color w:val="000000"/>
          <w:sz w:val="32"/>
          <w:szCs w:val="32"/>
        </w:rPr>
        <w:t xml:space="preserve"> 支出决算为</w:t>
      </w:r>
      <w:r>
        <w:rPr>
          <w:rStyle w:val="16"/>
          <w:rFonts w:hint="eastAsia" w:ascii="仿宋_GB2312" w:hAnsi="仿宋_GB2312" w:eastAsia="仿宋_GB2312" w:cs="仿宋_GB2312"/>
          <w:b w:val="0"/>
          <w:bCs/>
          <w:color w:val="000000"/>
          <w:sz w:val="32"/>
          <w:szCs w:val="32"/>
          <w:lang w:val="en-US" w:eastAsia="zh-CN"/>
        </w:rPr>
        <w:t>148.99</w:t>
      </w:r>
      <w:r>
        <w:rPr>
          <w:rStyle w:val="16"/>
          <w:rFonts w:hint="eastAsia" w:ascii="仿宋_GB2312" w:hAnsi="仿宋_GB2312" w:eastAsia="仿宋_GB2312" w:cs="仿宋_GB2312"/>
          <w:b w:val="0"/>
          <w:bCs/>
          <w:color w:val="000000"/>
          <w:sz w:val="32"/>
          <w:szCs w:val="32"/>
        </w:rPr>
        <w:t>万元，</w:t>
      </w:r>
      <w:r>
        <w:rPr>
          <w:rStyle w:val="16"/>
          <w:rFonts w:hint="eastAsia" w:ascii="仿宋_GB2312" w:hAnsi="仿宋_GB2312" w:eastAsia="仿宋_GB2312" w:cs="仿宋_GB2312"/>
          <w:b w:val="0"/>
          <w:bCs/>
          <w:color w:val="000000"/>
          <w:sz w:val="32"/>
          <w:szCs w:val="32"/>
          <w:lang w:val="en-US" w:eastAsia="zh-CN"/>
        </w:rPr>
        <w:t>与预算数持平</w:t>
      </w:r>
      <w:r>
        <w:rPr>
          <w:rStyle w:val="16"/>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textAlignment w:val="auto"/>
        <w:rPr>
          <w:rStyle w:val="16"/>
          <w:rFonts w:hint="eastAsia" w:ascii="仿宋_GB2312" w:hAnsi="仿宋_GB2312" w:eastAsia="仿宋_GB2312" w:cs="仿宋_GB2312"/>
          <w:b w:val="0"/>
          <w:bCs/>
          <w:color w:val="000000"/>
          <w:sz w:val="32"/>
          <w:szCs w:val="32"/>
          <w:lang w:eastAsia="zh-CN"/>
        </w:rPr>
      </w:pPr>
      <w:r>
        <w:rPr>
          <w:rStyle w:val="16"/>
          <w:rFonts w:hint="eastAsia" w:ascii="仿宋_GB2312" w:hAnsi="仿宋_GB2312" w:eastAsia="仿宋_GB2312" w:cs="仿宋_GB2312"/>
          <w:bCs/>
          <w:color w:val="000000"/>
          <w:sz w:val="32"/>
          <w:szCs w:val="32"/>
          <w:lang w:val="en-US" w:eastAsia="zh-CN"/>
        </w:rPr>
        <w:t>21</w:t>
      </w:r>
      <w:r>
        <w:rPr>
          <w:rStyle w:val="16"/>
          <w:rFonts w:hint="eastAsia" w:ascii="仿宋_GB2312" w:hAnsi="仿宋_GB2312" w:eastAsia="仿宋_GB2312" w:cs="仿宋_GB2312"/>
          <w:b w:val="0"/>
          <w:bCs/>
          <w:color w:val="000000"/>
          <w:sz w:val="32"/>
          <w:szCs w:val="32"/>
          <w:lang w:val="en-US" w:eastAsia="zh-CN"/>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粮油物资储备</w:t>
      </w:r>
      <w:r>
        <w:rPr>
          <w:rStyle w:val="16"/>
          <w:rFonts w:hint="eastAsia" w:ascii="仿宋_GB2312" w:hAnsi="仿宋_GB2312" w:eastAsia="仿宋_GB2312" w:cs="仿宋_GB2312"/>
          <w:bCs/>
          <w:color w:val="000000"/>
          <w:sz w:val="32"/>
          <w:szCs w:val="32"/>
        </w:rPr>
        <w:t>（类）</w:t>
      </w:r>
      <w:r>
        <w:rPr>
          <w:rStyle w:val="16"/>
          <w:rFonts w:hint="eastAsia" w:ascii="仿宋_GB2312" w:hAnsi="仿宋_GB2312" w:eastAsia="仿宋_GB2312" w:cs="仿宋_GB2312"/>
          <w:bCs/>
          <w:color w:val="000000"/>
          <w:sz w:val="32"/>
          <w:szCs w:val="32"/>
          <w:lang w:val="en-US" w:eastAsia="zh-CN"/>
        </w:rPr>
        <w:t>重要商品储备</w:t>
      </w:r>
      <w:r>
        <w:rPr>
          <w:rStyle w:val="16"/>
          <w:rFonts w:hint="eastAsia" w:ascii="仿宋_GB2312" w:hAnsi="仿宋_GB2312" w:eastAsia="仿宋_GB2312" w:cs="仿宋_GB2312"/>
          <w:bCs/>
          <w:color w:val="000000"/>
          <w:sz w:val="32"/>
          <w:szCs w:val="32"/>
        </w:rPr>
        <w:t>（款）</w:t>
      </w:r>
      <w:r>
        <w:rPr>
          <w:rStyle w:val="16"/>
          <w:rFonts w:hint="eastAsia" w:ascii="仿宋_GB2312" w:hAnsi="仿宋_GB2312" w:eastAsia="仿宋_GB2312" w:cs="仿宋_GB2312"/>
          <w:bCs/>
          <w:color w:val="000000"/>
          <w:sz w:val="32"/>
          <w:szCs w:val="32"/>
          <w:lang w:val="en-US" w:eastAsia="zh-CN"/>
        </w:rPr>
        <w:t>棉花储备</w:t>
      </w:r>
      <w:r>
        <w:rPr>
          <w:rStyle w:val="16"/>
          <w:rFonts w:hint="eastAsia" w:ascii="仿宋_GB2312" w:hAnsi="仿宋_GB2312" w:eastAsia="仿宋_GB2312" w:cs="仿宋_GB2312"/>
          <w:bCs/>
          <w:color w:val="000000"/>
          <w:sz w:val="32"/>
          <w:szCs w:val="32"/>
        </w:rPr>
        <w:t>（项）:</w:t>
      </w:r>
      <w:r>
        <w:rPr>
          <w:rStyle w:val="16"/>
          <w:rFonts w:hint="eastAsia" w:ascii="仿宋_GB2312" w:hAnsi="仿宋_GB2312" w:eastAsia="仿宋_GB2312" w:cs="仿宋_GB2312"/>
          <w:b w:val="0"/>
          <w:bCs/>
          <w:color w:val="000000"/>
          <w:sz w:val="32"/>
          <w:szCs w:val="32"/>
        </w:rPr>
        <w:t>支出决算为</w:t>
      </w:r>
      <w:r>
        <w:rPr>
          <w:rStyle w:val="16"/>
          <w:rFonts w:hint="eastAsia" w:ascii="仿宋_GB2312" w:hAnsi="仿宋_GB2312" w:eastAsia="仿宋_GB2312" w:cs="仿宋_GB2312"/>
          <w:b w:val="0"/>
          <w:bCs/>
          <w:color w:val="000000"/>
          <w:sz w:val="32"/>
          <w:szCs w:val="32"/>
          <w:lang w:val="en-US" w:eastAsia="zh-CN"/>
        </w:rPr>
        <w:t>350</w:t>
      </w:r>
      <w:r>
        <w:rPr>
          <w:rStyle w:val="16"/>
          <w:rFonts w:hint="eastAsia" w:ascii="仿宋_GB2312" w:hAnsi="仿宋_GB2312" w:eastAsia="仿宋_GB2312" w:cs="仿宋_GB2312"/>
          <w:b w:val="0"/>
          <w:bCs/>
          <w:color w:val="000000"/>
          <w:sz w:val="32"/>
          <w:szCs w:val="32"/>
        </w:rPr>
        <w:t>万元</w:t>
      </w:r>
      <w:r>
        <w:rPr>
          <w:rStyle w:val="16"/>
          <w:rFonts w:hint="eastAsia" w:ascii="仿宋_GB2312" w:hAnsi="仿宋_GB2312" w:eastAsia="仿宋_GB2312" w:cs="仿宋_GB2312"/>
          <w:b w:val="0"/>
          <w:bCs/>
          <w:color w:val="000000"/>
          <w:sz w:val="32"/>
          <w:szCs w:val="32"/>
          <w:lang w:eastAsia="zh-CN"/>
        </w:rPr>
        <w:t>，</w:t>
      </w:r>
      <w:r>
        <w:rPr>
          <w:rStyle w:val="16"/>
          <w:rFonts w:hint="eastAsia" w:ascii="仿宋_GB2312" w:hAnsi="仿宋_GB2312" w:eastAsia="仿宋_GB2312" w:cs="仿宋_GB2312"/>
          <w:b w:val="0"/>
          <w:bCs/>
          <w:color w:val="000000"/>
          <w:sz w:val="32"/>
          <w:szCs w:val="32"/>
          <w:lang w:val="en-US" w:eastAsia="zh-CN"/>
        </w:rPr>
        <w:t>与预算数持平</w:t>
      </w:r>
      <w:r>
        <w:rPr>
          <w:rStyle w:val="16"/>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textAlignment w:val="auto"/>
        <w:rPr>
          <w:rStyle w:val="16"/>
          <w:rFonts w:hint="eastAsia" w:ascii="仿宋_GB2312" w:hAnsi="仿宋_GB2312" w:eastAsia="仿宋_GB2312" w:cs="仿宋_GB2312"/>
          <w:b w:val="0"/>
          <w:bCs/>
          <w:color w:val="000000"/>
          <w:sz w:val="32"/>
          <w:szCs w:val="32"/>
          <w:lang w:eastAsia="zh-CN"/>
        </w:rPr>
      </w:pPr>
      <w:r>
        <w:rPr>
          <w:rStyle w:val="16"/>
          <w:rFonts w:hint="eastAsia" w:ascii="仿宋_GB2312" w:hAnsi="仿宋_GB2312" w:eastAsia="仿宋_GB2312" w:cs="仿宋_GB2312"/>
          <w:b/>
          <w:bCs w:val="0"/>
          <w:color w:val="000000"/>
          <w:sz w:val="32"/>
          <w:szCs w:val="32"/>
          <w:lang w:val="en-US" w:eastAsia="zh-CN"/>
        </w:rPr>
        <w:t>22.</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粮油物资</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储备</w:t>
      </w:r>
      <w:r>
        <w:rPr>
          <w:rStyle w:val="16"/>
          <w:rFonts w:hint="eastAsia" w:ascii="仿宋_GB2312" w:hAnsi="仿宋_GB2312" w:eastAsia="仿宋_GB2312" w:cs="仿宋_GB2312"/>
          <w:bCs/>
          <w:color w:val="000000"/>
          <w:sz w:val="32"/>
          <w:szCs w:val="32"/>
        </w:rPr>
        <w:t>（类）</w:t>
      </w:r>
      <w:r>
        <w:rPr>
          <w:rStyle w:val="16"/>
          <w:rFonts w:hint="eastAsia" w:ascii="仿宋_GB2312" w:hAnsi="仿宋_GB2312" w:eastAsia="仿宋_GB2312" w:cs="仿宋_GB2312"/>
          <w:bCs/>
          <w:color w:val="000000"/>
          <w:sz w:val="32"/>
          <w:szCs w:val="32"/>
          <w:lang w:val="en-US" w:eastAsia="zh-CN"/>
        </w:rPr>
        <w:t>重要商品储备</w:t>
      </w:r>
      <w:r>
        <w:rPr>
          <w:rStyle w:val="16"/>
          <w:rFonts w:hint="eastAsia" w:ascii="仿宋_GB2312" w:hAnsi="仿宋_GB2312" w:eastAsia="仿宋_GB2312" w:cs="仿宋_GB2312"/>
          <w:bCs/>
          <w:color w:val="000000"/>
          <w:sz w:val="32"/>
          <w:szCs w:val="32"/>
        </w:rPr>
        <w:t>（款）</w:t>
      </w:r>
      <w:r>
        <w:rPr>
          <w:rStyle w:val="16"/>
          <w:rFonts w:hint="eastAsia" w:ascii="仿宋_GB2312" w:hAnsi="仿宋_GB2312" w:eastAsia="仿宋_GB2312" w:cs="仿宋_GB2312"/>
          <w:bCs/>
          <w:color w:val="000000"/>
          <w:sz w:val="32"/>
          <w:szCs w:val="32"/>
          <w:lang w:val="en-US" w:eastAsia="zh-CN"/>
        </w:rPr>
        <w:t>化肥储备</w:t>
      </w:r>
      <w:r>
        <w:rPr>
          <w:rStyle w:val="16"/>
          <w:rFonts w:hint="eastAsia" w:ascii="仿宋_GB2312" w:hAnsi="仿宋_GB2312" w:eastAsia="仿宋_GB2312" w:cs="仿宋_GB2312"/>
          <w:bCs/>
          <w:color w:val="000000"/>
          <w:sz w:val="32"/>
          <w:szCs w:val="32"/>
        </w:rPr>
        <w:t>（项）:</w:t>
      </w:r>
      <w:r>
        <w:rPr>
          <w:rStyle w:val="16"/>
          <w:rFonts w:hint="eastAsia" w:ascii="仿宋_GB2312" w:hAnsi="仿宋_GB2312" w:eastAsia="仿宋_GB2312" w:cs="仿宋_GB2312"/>
          <w:b w:val="0"/>
          <w:bCs/>
          <w:color w:val="000000"/>
          <w:sz w:val="32"/>
          <w:szCs w:val="32"/>
        </w:rPr>
        <w:t>支出决算为</w:t>
      </w:r>
      <w:r>
        <w:rPr>
          <w:rStyle w:val="16"/>
          <w:rFonts w:hint="eastAsia" w:ascii="仿宋_GB2312" w:hAnsi="仿宋_GB2312" w:eastAsia="仿宋_GB2312" w:cs="仿宋_GB2312"/>
          <w:b w:val="0"/>
          <w:bCs/>
          <w:color w:val="000000"/>
          <w:sz w:val="32"/>
          <w:szCs w:val="32"/>
          <w:lang w:val="en-US" w:eastAsia="zh-CN"/>
        </w:rPr>
        <w:t>1060</w:t>
      </w:r>
      <w:r>
        <w:rPr>
          <w:rStyle w:val="16"/>
          <w:rFonts w:hint="eastAsia" w:ascii="仿宋_GB2312" w:hAnsi="仿宋_GB2312" w:eastAsia="仿宋_GB2312" w:cs="仿宋_GB2312"/>
          <w:b w:val="0"/>
          <w:bCs/>
          <w:color w:val="000000"/>
          <w:sz w:val="32"/>
          <w:szCs w:val="32"/>
        </w:rPr>
        <w:t>万元</w:t>
      </w:r>
      <w:r>
        <w:rPr>
          <w:rStyle w:val="16"/>
          <w:rFonts w:hint="eastAsia" w:ascii="仿宋_GB2312" w:hAnsi="仿宋_GB2312" w:eastAsia="仿宋_GB2312" w:cs="仿宋_GB2312"/>
          <w:b w:val="0"/>
          <w:bCs/>
          <w:color w:val="000000"/>
          <w:sz w:val="32"/>
          <w:szCs w:val="32"/>
          <w:lang w:eastAsia="zh-CN"/>
        </w:rPr>
        <w:t>，</w:t>
      </w:r>
      <w:r>
        <w:rPr>
          <w:rStyle w:val="16"/>
          <w:rFonts w:hint="eastAsia" w:ascii="仿宋_GB2312" w:hAnsi="仿宋_GB2312" w:eastAsia="仿宋_GB2312" w:cs="仿宋_GB2312"/>
          <w:b w:val="0"/>
          <w:bCs/>
          <w:color w:val="000000"/>
          <w:sz w:val="32"/>
          <w:szCs w:val="32"/>
          <w:lang w:val="en-US" w:eastAsia="zh-CN"/>
        </w:rPr>
        <w:t>与预算数持平</w:t>
      </w:r>
      <w:r>
        <w:rPr>
          <w:rStyle w:val="16"/>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3" w:firstLineChars="200"/>
        <w:textAlignment w:val="auto"/>
        <w:rPr>
          <w:rStyle w:val="16"/>
          <w:rFonts w:hint="eastAsia" w:ascii="仿宋_GB2312" w:hAnsi="仿宋_GB2312" w:eastAsia="仿宋_GB2312" w:cs="仿宋_GB2312"/>
          <w:b w:val="0"/>
          <w:bCs/>
          <w:color w:val="000000"/>
          <w:sz w:val="32"/>
          <w:szCs w:val="32"/>
          <w:lang w:val="en-US" w:eastAsia="zh-CN"/>
        </w:rPr>
      </w:pPr>
      <w:r>
        <w:rPr>
          <w:rStyle w:val="16"/>
          <w:rFonts w:hint="eastAsia" w:ascii="仿宋_GB2312" w:hAnsi="仿宋_GB2312" w:eastAsia="仿宋_GB2312" w:cs="仿宋_GB2312"/>
          <w:b/>
          <w:bCs w:val="0"/>
          <w:color w:val="000000"/>
          <w:sz w:val="32"/>
          <w:szCs w:val="32"/>
          <w:lang w:val="en-US" w:eastAsia="zh-CN"/>
        </w:rPr>
        <w:t>23.</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灾害</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防治及应急管理支出</w:t>
      </w:r>
      <w:r>
        <w:rPr>
          <w:rStyle w:val="16"/>
          <w:rFonts w:hint="eastAsia" w:ascii="仿宋_GB2312" w:hAnsi="仿宋_GB2312" w:eastAsia="仿宋_GB2312" w:cs="仿宋_GB2312"/>
          <w:bCs/>
          <w:color w:val="000000"/>
          <w:sz w:val="32"/>
          <w:szCs w:val="32"/>
        </w:rPr>
        <w:t>（类）</w:t>
      </w:r>
      <w:r>
        <w:rPr>
          <w:rStyle w:val="16"/>
          <w:rFonts w:hint="eastAsia" w:ascii="仿宋_GB2312" w:hAnsi="仿宋_GB2312" w:eastAsia="仿宋_GB2312" w:cs="仿宋_GB2312"/>
          <w:bCs/>
          <w:color w:val="000000"/>
          <w:sz w:val="32"/>
          <w:szCs w:val="32"/>
          <w:lang w:val="en-US" w:eastAsia="zh-CN"/>
        </w:rPr>
        <w:t>应急管理事务</w:t>
      </w:r>
      <w:r>
        <w:rPr>
          <w:rStyle w:val="16"/>
          <w:rFonts w:hint="eastAsia" w:ascii="仿宋_GB2312" w:hAnsi="仿宋_GB2312" w:eastAsia="仿宋_GB2312" w:cs="仿宋_GB2312"/>
          <w:bCs/>
          <w:color w:val="000000"/>
          <w:sz w:val="32"/>
          <w:szCs w:val="32"/>
        </w:rPr>
        <w:t>（款）</w:t>
      </w:r>
      <w:r>
        <w:rPr>
          <w:rStyle w:val="16"/>
          <w:rFonts w:hint="eastAsia" w:ascii="仿宋_GB2312" w:hAnsi="仿宋_GB2312" w:eastAsia="仿宋_GB2312" w:cs="仿宋_GB2312"/>
          <w:bCs/>
          <w:color w:val="000000"/>
          <w:sz w:val="32"/>
          <w:szCs w:val="32"/>
          <w:lang w:val="en-US" w:eastAsia="zh-CN"/>
        </w:rPr>
        <w:t>安全监管</w:t>
      </w:r>
      <w:r>
        <w:rPr>
          <w:rStyle w:val="16"/>
          <w:rFonts w:hint="eastAsia" w:ascii="仿宋_GB2312" w:hAnsi="仿宋_GB2312" w:eastAsia="仿宋_GB2312" w:cs="仿宋_GB2312"/>
          <w:bCs/>
          <w:color w:val="000000"/>
          <w:sz w:val="32"/>
          <w:szCs w:val="32"/>
        </w:rPr>
        <w:t>（项）:</w:t>
      </w:r>
      <w:r>
        <w:rPr>
          <w:rStyle w:val="16"/>
          <w:rFonts w:hint="eastAsia" w:ascii="仿宋_GB2312" w:hAnsi="仿宋_GB2312" w:eastAsia="仿宋_GB2312" w:cs="仿宋_GB2312"/>
          <w:b w:val="0"/>
          <w:bCs/>
          <w:color w:val="000000"/>
          <w:sz w:val="32"/>
          <w:szCs w:val="32"/>
        </w:rPr>
        <w:t>支出决算为</w:t>
      </w:r>
      <w:r>
        <w:rPr>
          <w:rStyle w:val="16"/>
          <w:rFonts w:hint="eastAsia" w:ascii="仿宋_GB2312" w:hAnsi="仿宋_GB2312" w:eastAsia="仿宋_GB2312" w:cs="仿宋_GB2312"/>
          <w:b w:val="0"/>
          <w:bCs/>
          <w:color w:val="000000"/>
          <w:sz w:val="32"/>
          <w:szCs w:val="32"/>
          <w:lang w:val="en-US" w:eastAsia="zh-CN"/>
        </w:rPr>
        <w:t>5</w:t>
      </w:r>
      <w:r>
        <w:rPr>
          <w:rStyle w:val="16"/>
          <w:rFonts w:hint="eastAsia" w:ascii="仿宋_GB2312" w:hAnsi="仿宋_GB2312" w:eastAsia="仿宋_GB2312" w:cs="仿宋_GB2312"/>
          <w:b w:val="0"/>
          <w:bCs/>
          <w:color w:val="000000"/>
          <w:sz w:val="32"/>
          <w:szCs w:val="32"/>
        </w:rPr>
        <w:t>万元</w:t>
      </w:r>
      <w:r>
        <w:rPr>
          <w:rStyle w:val="16"/>
          <w:rFonts w:hint="eastAsia" w:ascii="仿宋_GB2312" w:hAnsi="仿宋_GB2312" w:eastAsia="仿宋_GB2312" w:cs="仿宋_GB2312"/>
          <w:b w:val="0"/>
          <w:bCs/>
          <w:color w:val="000000"/>
          <w:sz w:val="32"/>
          <w:szCs w:val="32"/>
          <w:lang w:eastAsia="zh-CN"/>
        </w:rPr>
        <w:t>，</w:t>
      </w:r>
      <w:r>
        <w:rPr>
          <w:rStyle w:val="16"/>
          <w:rFonts w:hint="eastAsia" w:ascii="仿宋_GB2312" w:hAnsi="仿宋_GB2312" w:eastAsia="仿宋_GB2312" w:cs="仿宋_GB2312"/>
          <w:b w:val="0"/>
          <w:bCs/>
          <w:color w:val="000000"/>
          <w:sz w:val="32"/>
          <w:szCs w:val="32"/>
          <w:lang w:val="en-US" w:eastAsia="zh-CN"/>
        </w:rPr>
        <w:t>与预算数持平。</w:t>
      </w:r>
    </w:p>
    <w:p>
      <w:pPr>
        <w:keepNext w:val="0"/>
        <w:keepLines w:val="0"/>
        <w:pageBreakBefore w:val="0"/>
        <w:widowControl w:val="0"/>
        <w:tabs>
          <w:tab w:val="right" w:pos="8306"/>
        </w:tabs>
        <w:kinsoku/>
        <w:wordWrap/>
        <w:overflowPunct/>
        <w:topLinePunct w:val="0"/>
        <w:autoSpaceDE/>
        <w:autoSpaceDN/>
        <w:bidi w:val="0"/>
        <w:adjustRightInd w:val="0"/>
        <w:snapToGrid w:val="0"/>
        <w:spacing w:line="580" w:lineRule="exact"/>
        <w:ind w:left="0" w:right="0" w:firstLine="640"/>
        <w:textAlignment w:val="auto"/>
        <w:outlineLvl w:val="1"/>
        <w:rPr>
          <w:rStyle w:val="28"/>
        </w:rPr>
      </w:pPr>
      <w:bookmarkStart w:id="52" w:name="_Toc15396608"/>
      <w:bookmarkStart w:id="53"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8"/>
          <w:rFonts w:hint="eastAsia" w:ascii="黑体" w:hAnsi="黑体" w:eastAsia="黑体"/>
          <w:b w:val="0"/>
        </w:rPr>
        <w:t>般公共预算财政拨款基本支出决算情况说明</w:t>
      </w:r>
      <w:bookmarkEnd w:id="52"/>
      <w:bookmarkEnd w:id="53"/>
      <w:r>
        <w:rPr>
          <w:rStyle w:val="28"/>
          <w:rFonts w:ascii="黑体" w:hAnsi="黑体" w:eastAsia="黑体"/>
          <w:b w:val="0"/>
        </w:rPr>
        <w:tab/>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年一般公共预算财政拨款基本支出</w:t>
      </w:r>
      <w:r>
        <w:rPr>
          <w:rFonts w:hint="eastAsia" w:ascii="仿宋_GB2312" w:hAnsi="仿宋_GB2312" w:eastAsia="仿宋_GB2312" w:cs="仿宋_GB2312"/>
          <w:color w:val="000000"/>
          <w:sz w:val="32"/>
          <w:szCs w:val="32"/>
          <w:lang w:val="en-US" w:eastAsia="zh-CN"/>
        </w:rPr>
        <w:t>6051.21</w:t>
      </w:r>
      <w:r>
        <w:rPr>
          <w:rFonts w:hint="eastAsia" w:ascii="仿宋_GB2312" w:hAnsi="仿宋_GB2312" w:eastAsia="仿宋_GB2312" w:cs="仿宋_GB2312"/>
          <w:color w:val="000000"/>
          <w:sz w:val="32"/>
          <w:szCs w:val="32"/>
        </w:rPr>
        <w:t>万元，其中：</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5"/>
        <w:textAlignment w:val="auto"/>
        <w:rPr>
          <w:rFonts w:hint="eastAsia" w:ascii="仿宋_GB2312" w:hAnsi="仿宋_GB2312" w:eastAsia="仿宋_GB2312" w:cs="仿宋_GB2312"/>
          <w:b/>
          <w:color w:val="FF0000"/>
          <w:sz w:val="32"/>
          <w:szCs w:val="32"/>
        </w:rPr>
      </w:pPr>
      <w:r>
        <w:rPr>
          <w:rFonts w:hint="eastAsia" w:ascii="仿宋_GB2312" w:hAnsi="仿宋_GB2312" w:eastAsia="仿宋_GB2312" w:cs="仿宋_GB2312"/>
          <w:color w:val="000000"/>
          <w:sz w:val="32"/>
          <w:szCs w:val="32"/>
        </w:rPr>
        <w:t>人员经费</w:t>
      </w:r>
      <w:r>
        <w:rPr>
          <w:rFonts w:hint="eastAsia" w:ascii="仿宋_GB2312" w:hAnsi="仿宋_GB2312" w:eastAsia="仿宋_GB2312" w:cs="仿宋_GB2312"/>
          <w:color w:val="000000"/>
          <w:sz w:val="32"/>
          <w:szCs w:val="32"/>
          <w:lang w:val="en-US" w:eastAsia="zh-CN"/>
        </w:rPr>
        <w:t>5225.62</w:t>
      </w:r>
      <w:r>
        <w:rPr>
          <w:rFonts w:hint="eastAsia" w:ascii="仿宋_GB2312" w:hAnsi="仿宋_GB2312" w:eastAsia="仿宋_GB2312" w:cs="仿宋_GB2312"/>
          <w:color w:val="000000"/>
          <w:sz w:val="32"/>
          <w:szCs w:val="32"/>
        </w:rPr>
        <w:t>万元，主要包括：基本工资</w:t>
      </w:r>
      <w:r>
        <w:rPr>
          <w:rFonts w:hint="eastAsia" w:ascii="仿宋_GB2312" w:hAnsi="仿宋_GB2312" w:eastAsia="仿宋_GB2312" w:cs="仿宋_GB2312"/>
          <w:color w:val="000000"/>
          <w:sz w:val="32"/>
          <w:szCs w:val="32"/>
          <w:lang w:val="en-US" w:eastAsia="zh-CN"/>
        </w:rPr>
        <w:t>1473.83万元</w:t>
      </w:r>
      <w:r>
        <w:rPr>
          <w:rFonts w:hint="eastAsia" w:ascii="仿宋_GB2312" w:hAnsi="仿宋_GB2312" w:eastAsia="仿宋_GB2312" w:cs="仿宋_GB2312"/>
          <w:color w:val="000000"/>
          <w:sz w:val="32"/>
          <w:szCs w:val="32"/>
        </w:rPr>
        <w:t>、津贴补贴</w:t>
      </w:r>
      <w:r>
        <w:rPr>
          <w:rFonts w:hint="eastAsia" w:ascii="仿宋_GB2312" w:hAnsi="仿宋_GB2312" w:eastAsia="仿宋_GB2312" w:cs="仿宋_GB2312"/>
          <w:color w:val="000000"/>
          <w:sz w:val="32"/>
          <w:szCs w:val="32"/>
          <w:lang w:val="en-US" w:eastAsia="zh-CN"/>
        </w:rPr>
        <w:t>586.75万元</w:t>
      </w:r>
      <w:r>
        <w:rPr>
          <w:rFonts w:hint="eastAsia" w:ascii="仿宋_GB2312" w:hAnsi="仿宋_GB2312" w:eastAsia="仿宋_GB2312" w:cs="仿宋_GB2312"/>
          <w:color w:val="000000"/>
          <w:sz w:val="32"/>
          <w:szCs w:val="32"/>
        </w:rPr>
        <w:t>、奖金</w:t>
      </w:r>
      <w:r>
        <w:rPr>
          <w:rFonts w:hint="eastAsia" w:ascii="仿宋_GB2312" w:hAnsi="仿宋_GB2312" w:eastAsia="仿宋_GB2312" w:cs="仿宋_GB2312"/>
          <w:color w:val="000000"/>
          <w:sz w:val="32"/>
          <w:szCs w:val="32"/>
          <w:lang w:val="en-US" w:eastAsia="zh-CN"/>
        </w:rPr>
        <w:t>35.71万元</w:t>
      </w:r>
      <w:r>
        <w:rPr>
          <w:rFonts w:hint="eastAsia" w:ascii="仿宋_GB2312" w:hAnsi="仿宋_GB2312" w:eastAsia="仿宋_GB2312" w:cs="仿宋_GB2312"/>
          <w:color w:val="000000"/>
          <w:sz w:val="32"/>
          <w:szCs w:val="32"/>
        </w:rPr>
        <w:t>、绩效工资</w:t>
      </w:r>
      <w:r>
        <w:rPr>
          <w:rFonts w:hint="eastAsia" w:ascii="仿宋_GB2312" w:hAnsi="仿宋_GB2312" w:eastAsia="仿宋_GB2312" w:cs="仿宋_GB2312"/>
          <w:color w:val="000000"/>
          <w:sz w:val="32"/>
          <w:szCs w:val="32"/>
          <w:lang w:val="en-US" w:eastAsia="zh-CN"/>
        </w:rPr>
        <w:t>754.67万元</w:t>
      </w:r>
      <w:r>
        <w:rPr>
          <w:rFonts w:hint="eastAsia" w:ascii="仿宋_GB2312" w:hAnsi="仿宋_GB2312" w:eastAsia="仿宋_GB2312" w:cs="仿宋_GB2312"/>
          <w:color w:val="000000"/>
          <w:sz w:val="32"/>
          <w:szCs w:val="32"/>
        </w:rPr>
        <w:t>、机关事业单位基本养老保险缴费</w:t>
      </w:r>
      <w:r>
        <w:rPr>
          <w:rFonts w:hint="eastAsia" w:ascii="仿宋_GB2312" w:hAnsi="仿宋_GB2312" w:eastAsia="仿宋_GB2312" w:cs="仿宋_GB2312"/>
          <w:color w:val="000000"/>
          <w:sz w:val="32"/>
          <w:szCs w:val="32"/>
          <w:lang w:val="en-US" w:eastAsia="zh-CN"/>
        </w:rPr>
        <w:t>478.67万元</w:t>
      </w:r>
      <w:r>
        <w:rPr>
          <w:rFonts w:hint="eastAsia" w:ascii="仿宋_GB2312" w:hAnsi="仿宋_GB2312" w:eastAsia="仿宋_GB2312" w:cs="仿宋_GB2312"/>
          <w:color w:val="000000"/>
          <w:sz w:val="32"/>
          <w:szCs w:val="32"/>
        </w:rPr>
        <w:t>、职业年金缴费</w:t>
      </w:r>
      <w:r>
        <w:rPr>
          <w:rFonts w:hint="eastAsia" w:ascii="仿宋_GB2312" w:hAnsi="仿宋_GB2312" w:eastAsia="仿宋_GB2312" w:cs="仿宋_GB2312"/>
          <w:color w:val="000000"/>
          <w:sz w:val="32"/>
          <w:szCs w:val="32"/>
          <w:lang w:val="en-US" w:eastAsia="zh-CN"/>
        </w:rPr>
        <w:t>182.17万元</w:t>
      </w:r>
      <w:r>
        <w:rPr>
          <w:rFonts w:hint="eastAsia" w:ascii="仿宋_GB2312" w:hAnsi="仿宋_GB2312" w:eastAsia="仿宋_GB2312" w:cs="仿宋_GB2312"/>
          <w:color w:val="000000"/>
          <w:sz w:val="32"/>
          <w:szCs w:val="32"/>
        </w:rPr>
        <w:t>、职工基本医疗保险缴费</w:t>
      </w:r>
      <w:r>
        <w:rPr>
          <w:rFonts w:hint="eastAsia" w:ascii="仿宋_GB2312" w:hAnsi="仿宋_GB2312" w:eastAsia="仿宋_GB2312" w:cs="仿宋_GB2312"/>
          <w:color w:val="000000"/>
          <w:sz w:val="32"/>
          <w:szCs w:val="32"/>
          <w:lang w:val="en-US" w:eastAsia="zh-CN"/>
        </w:rPr>
        <w:t>284.91</w:t>
      </w:r>
      <w:r>
        <w:rPr>
          <w:rFonts w:hint="eastAsia" w:ascii="仿宋_GB2312" w:hAnsi="仿宋_GB2312" w:eastAsia="仿宋_GB2312" w:cs="仿宋_GB2312"/>
          <w:color w:val="000000"/>
          <w:sz w:val="32"/>
          <w:szCs w:val="32"/>
        </w:rPr>
        <w:t>万元、公务员医疗补助缴费3</w:t>
      </w:r>
      <w:r>
        <w:rPr>
          <w:rFonts w:hint="eastAsia" w:ascii="仿宋_GB2312" w:hAnsi="仿宋_GB2312" w:eastAsia="仿宋_GB2312" w:cs="仿宋_GB2312"/>
          <w:color w:val="000000"/>
          <w:sz w:val="32"/>
          <w:szCs w:val="32"/>
          <w:lang w:val="en-US" w:eastAsia="zh-CN"/>
        </w:rPr>
        <w:t>4.78</w:t>
      </w:r>
      <w:r>
        <w:rPr>
          <w:rFonts w:hint="eastAsia" w:ascii="仿宋_GB2312" w:hAnsi="仿宋_GB2312" w:eastAsia="仿宋_GB2312" w:cs="仿宋_GB2312"/>
          <w:color w:val="000000"/>
          <w:sz w:val="32"/>
          <w:szCs w:val="32"/>
        </w:rPr>
        <w:t>万元、其他社会保障缴费</w:t>
      </w:r>
      <w:r>
        <w:rPr>
          <w:rFonts w:hint="eastAsia" w:ascii="仿宋_GB2312" w:hAnsi="仿宋_GB2312" w:eastAsia="仿宋_GB2312" w:cs="仿宋_GB2312"/>
          <w:color w:val="000000"/>
          <w:sz w:val="32"/>
          <w:szCs w:val="32"/>
          <w:lang w:val="en-US" w:eastAsia="zh-CN"/>
        </w:rPr>
        <w:t>39.87</w:t>
      </w:r>
      <w:r>
        <w:rPr>
          <w:rFonts w:hint="eastAsia" w:ascii="仿宋_GB2312" w:hAnsi="仿宋_GB2312" w:eastAsia="仿宋_GB2312" w:cs="仿宋_GB2312"/>
          <w:color w:val="000000"/>
          <w:sz w:val="32"/>
          <w:szCs w:val="32"/>
        </w:rPr>
        <w:t>万元、其他工资福利支出</w:t>
      </w:r>
      <w:r>
        <w:rPr>
          <w:rFonts w:hint="eastAsia" w:ascii="仿宋_GB2312" w:hAnsi="仿宋_GB2312" w:eastAsia="仿宋_GB2312" w:cs="仿宋_GB2312"/>
          <w:color w:val="000000"/>
          <w:sz w:val="32"/>
          <w:szCs w:val="32"/>
          <w:lang w:val="en-US" w:eastAsia="zh-CN"/>
        </w:rPr>
        <w:t>391万元</w:t>
      </w:r>
      <w:r>
        <w:rPr>
          <w:rFonts w:hint="eastAsia" w:ascii="仿宋_GB2312" w:hAnsi="仿宋_GB2312" w:eastAsia="仿宋_GB2312" w:cs="仿宋_GB2312"/>
          <w:color w:val="000000"/>
          <w:sz w:val="32"/>
          <w:szCs w:val="32"/>
        </w:rPr>
        <w:t>、离休费</w:t>
      </w:r>
      <w:r>
        <w:rPr>
          <w:rFonts w:hint="eastAsia" w:ascii="仿宋_GB2312" w:hAnsi="仿宋_GB2312" w:eastAsia="仿宋_GB2312" w:cs="仿宋_GB2312"/>
          <w:color w:val="000000"/>
          <w:sz w:val="32"/>
          <w:szCs w:val="32"/>
          <w:lang w:val="en-US" w:eastAsia="zh-CN"/>
        </w:rPr>
        <w:t>109.24万元</w:t>
      </w:r>
      <w:r>
        <w:rPr>
          <w:rFonts w:hint="eastAsia" w:ascii="仿宋_GB2312" w:hAnsi="仿宋_GB2312" w:eastAsia="仿宋_GB2312" w:cs="仿宋_GB2312"/>
          <w:color w:val="000000"/>
          <w:sz w:val="32"/>
          <w:szCs w:val="32"/>
        </w:rPr>
        <w:t>、抚恤金</w:t>
      </w:r>
      <w:r>
        <w:rPr>
          <w:rFonts w:hint="eastAsia" w:ascii="仿宋_GB2312" w:hAnsi="仿宋_GB2312" w:eastAsia="仿宋_GB2312" w:cs="仿宋_GB2312"/>
          <w:color w:val="000000"/>
          <w:sz w:val="32"/>
          <w:szCs w:val="32"/>
          <w:lang w:val="en-US" w:eastAsia="zh-CN"/>
        </w:rPr>
        <w:t>69.72万元</w:t>
      </w:r>
      <w:r>
        <w:rPr>
          <w:rFonts w:hint="eastAsia" w:ascii="仿宋_GB2312" w:hAnsi="仿宋_GB2312" w:eastAsia="仿宋_GB2312" w:cs="仿宋_GB2312"/>
          <w:color w:val="000000"/>
          <w:sz w:val="32"/>
          <w:szCs w:val="32"/>
        </w:rPr>
        <w:t>、生活补助</w:t>
      </w:r>
      <w:r>
        <w:rPr>
          <w:rFonts w:hint="eastAsia" w:ascii="仿宋_GB2312" w:hAnsi="仿宋_GB2312" w:eastAsia="仿宋_GB2312" w:cs="仿宋_GB2312"/>
          <w:color w:val="000000"/>
          <w:sz w:val="32"/>
          <w:szCs w:val="32"/>
          <w:lang w:val="en-US" w:eastAsia="zh-CN"/>
        </w:rPr>
        <w:t>9.16万元</w:t>
      </w:r>
      <w:r>
        <w:rPr>
          <w:rFonts w:hint="eastAsia" w:ascii="仿宋_GB2312" w:hAnsi="仿宋_GB2312" w:eastAsia="仿宋_GB2312" w:cs="仿宋_GB2312"/>
          <w:color w:val="000000"/>
          <w:sz w:val="32"/>
          <w:szCs w:val="32"/>
        </w:rPr>
        <w:t>、奖励金</w:t>
      </w:r>
      <w:r>
        <w:rPr>
          <w:rFonts w:hint="eastAsia" w:ascii="仿宋_GB2312" w:hAnsi="仿宋_GB2312" w:eastAsia="仿宋_GB2312" w:cs="仿宋_GB2312"/>
          <w:color w:val="000000"/>
          <w:sz w:val="32"/>
          <w:szCs w:val="32"/>
          <w:lang w:val="en-US" w:eastAsia="zh-CN"/>
        </w:rPr>
        <w:t>0.14万元</w:t>
      </w:r>
      <w:r>
        <w:rPr>
          <w:rFonts w:hint="eastAsia" w:ascii="仿宋_GB2312" w:hAnsi="仿宋_GB2312" w:eastAsia="仿宋_GB2312" w:cs="仿宋_GB2312"/>
          <w:color w:val="000000"/>
          <w:sz w:val="32"/>
          <w:szCs w:val="32"/>
        </w:rPr>
        <w:t>、住房公积金</w:t>
      </w:r>
      <w:r>
        <w:rPr>
          <w:rFonts w:hint="eastAsia" w:ascii="仿宋_GB2312" w:hAnsi="仿宋_GB2312" w:eastAsia="仿宋_GB2312" w:cs="仿宋_GB2312"/>
          <w:color w:val="000000"/>
          <w:sz w:val="32"/>
          <w:szCs w:val="32"/>
          <w:lang w:val="en-US" w:eastAsia="zh-CN"/>
        </w:rPr>
        <w:t>341.13万元</w:t>
      </w:r>
      <w:r>
        <w:rPr>
          <w:rFonts w:hint="eastAsia" w:ascii="仿宋_GB2312" w:hAnsi="仿宋_GB2312" w:eastAsia="仿宋_GB2312" w:cs="仿宋_GB2312"/>
          <w:color w:val="000000"/>
          <w:sz w:val="32"/>
          <w:szCs w:val="32"/>
        </w:rPr>
        <w:t>、其他对个人和家庭的补助支出</w:t>
      </w:r>
      <w:r>
        <w:rPr>
          <w:rFonts w:hint="eastAsia" w:ascii="仿宋_GB2312" w:hAnsi="仿宋_GB2312" w:eastAsia="仿宋_GB2312" w:cs="仿宋_GB2312"/>
          <w:color w:val="000000"/>
          <w:sz w:val="32"/>
          <w:szCs w:val="32"/>
          <w:lang w:val="en-US" w:eastAsia="zh-CN"/>
        </w:rPr>
        <w:t>433.87万元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公用经费</w:t>
      </w:r>
      <w:r>
        <w:rPr>
          <w:rFonts w:hint="eastAsia" w:ascii="仿宋_GB2312" w:hAnsi="仿宋_GB2312" w:eastAsia="仿宋_GB2312" w:cs="仿宋_GB2312"/>
          <w:color w:val="000000"/>
          <w:sz w:val="32"/>
          <w:szCs w:val="32"/>
          <w:lang w:val="en-US" w:eastAsia="zh-CN"/>
        </w:rPr>
        <w:t>825.59</w:t>
      </w:r>
      <w:r>
        <w:rPr>
          <w:rFonts w:hint="eastAsia" w:ascii="仿宋_GB2312" w:hAnsi="仿宋_GB2312" w:eastAsia="仿宋_GB2312" w:cs="仿宋_GB2312"/>
          <w:color w:val="000000"/>
          <w:sz w:val="32"/>
          <w:szCs w:val="32"/>
        </w:rPr>
        <w:t>万元，主要包括：办公费</w:t>
      </w:r>
      <w:r>
        <w:rPr>
          <w:rFonts w:hint="eastAsia" w:ascii="仿宋_GB2312" w:hAnsi="仿宋_GB2312" w:eastAsia="仿宋_GB2312" w:cs="仿宋_GB2312"/>
          <w:color w:val="000000"/>
          <w:sz w:val="32"/>
          <w:szCs w:val="32"/>
          <w:lang w:val="en-US" w:eastAsia="zh-CN"/>
        </w:rPr>
        <w:t>54.33万元</w:t>
      </w:r>
      <w:r>
        <w:rPr>
          <w:rFonts w:hint="eastAsia" w:ascii="仿宋_GB2312" w:hAnsi="仿宋_GB2312" w:eastAsia="仿宋_GB2312" w:cs="仿宋_GB2312"/>
          <w:color w:val="000000"/>
          <w:sz w:val="32"/>
          <w:szCs w:val="32"/>
        </w:rPr>
        <w:t>、印刷费</w:t>
      </w:r>
      <w:r>
        <w:rPr>
          <w:rFonts w:hint="eastAsia" w:ascii="仿宋_GB2312" w:hAnsi="仿宋_GB2312" w:eastAsia="仿宋_GB2312" w:cs="仿宋_GB2312"/>
          <w:color w:val="000000"/>
          <w:sz w:val="32"/>
          <w:szCs w:val="32"/>
          <w:lang w:val="en-US" w:eastAsia="zh-CN"/>
        </w:rPr>
        <w:t>4.49万元</w:t>
      </w:r>
      <w:r>
        <w:rPr>
          <w:rFonts w:hint="eastAsia" w:ascii="仿宋_GB2312" w:hAnsi="仿宋_GB2312" w:eastAsia="仿宋_GB2312" w:cs="仿宋_GB2312"/>
          <w:color w:val="000000"/>
          <w:sz w:val="32"/>
          <w:szCs w:val="32"/>
        </w:rPr>
        <w:t>、水费</w:t>
      </w:r>
      <w:r>
        <w:rPr>
          <w:rFonts w:hint="eastAsia" w:ascii="仿宋_GB2312" w:hAnsi="仿宋_GB2312" w:eastAsia="仿宋_GB2312" w:cs="仿宋_GB2312"/>
          <w:color w:val="000000"/>
          <w:sz w:val="32"/>
          <w:szCs w:val="32"/>
          <w:lang w:val="en-US" w:eastAsia="zh-CN"/>
        </w:rPr>
        <w:t>5.63万元</w:t>
      </w:r>
      <w:r>
        <w:rPr>
          <w:rFonts w:hint="eastAsia" w:ascii="仿宋_GB2312" w:hAnsi="仿宋_GB2312" w:eastAsia="仿宋_GB2312" w:cs="仿宋_GB2312"/>
          <w:color w:val="000000"/>
          <w:sz w:val="32"/>
          <w:szCs w:val="32"/>
        </w:rPr>
        <w:t>、电费</w:t>
      </w:r>
      <w:r>
        <w:rPr>
          <w:rFonts w:hint="eastAsia" w:ascii="仿宋_GB2312" w:hAnsi="仿宋_GB2312" w:eastAsia="仿宋_GB2312" w:cs="仿宋_GB2312"/>
          <w:color w:val="000000"/>
          <w:sz w:val="32"/>
          <w:szCs w:val="32"/>
          <w:lang w:val="en-US" w:eastAsia="zh-CN"/>
        </w:rPr>
        <w:t>17.8万元</w:t>
      </w:r>
      <w:r>
        <w:rPr>
          <w:rFonts w:hint="eastAsia" w:ascii="仿宋_GB2312" w:hAnsi="仿宋_GB2312" w:eastAsia="仿宋_GB2312" w:cs="仿宋_GB2312"/>
          <w:color w:val="000000"/>
          <w:sz w:val="32"/>
          <w:szCs w:val="32"/>
        </w:rPr>
        <w:t>、邮电费</w:t>
      </w:r>
      <w:r>
        <w:rPr>
          <w:rFonts w:hint="eastAsia" w:ascii="仿宋_GB2312" w:hAnsi="仿宋_GB2312" w:eastAsia="仿宋_GB2312" w:cs="仿宋_GB2312"/>
          <w:color w:val="000000"/>
          <w:sz w:val="32"/>
          <w:szCs w:val="32"/>
          <w:lang w:val="en-US" w:eastAsia="zh-CN"/>
        </w:rPr>
        <w:t>7.35万元</w:t>
      </w:r>
      <w:r>
        <w:rPr>
          <w:rFonts w:hint="eastAsia" w:ascii="仿宋_GB2312" w:hAnsi="仿宋_GB2312" w:eastAsia="仿宋_GB2312" w:cs="仿宋_GB2312"/>
          <w:color w:val="000000"/>
          <w:sz w:val="32"/>
          <w:szCs w:val="32"/>
        </w:rPr>
        <w:t>、物业管理费</w:t>
      </w:r>
      <w:r>
        <w:rPr>
          <w:rFonts w:hint="eastAsia" w:ascii="仿宋_GB2312" w:hAnsi="仿宋_GB2312" w:eastAsia="仿宋_GB2312" w:cs="仿宋_GB2312"/>
          <w:color w:val="000000"/>
          <w:sz w:val="32"/>
          <w:szCs w:val="32"/>
          <w:lang w:val="en-US" w:eastAsia="zh-CN"/>
        </w:rPr>
        <w:t>73万元</w:t>
      </w:r>
      <w:r>
        <w:rPr>
          <w:rFonts w:hint="eastAsia" w:ascii="仿宋_GB2312" w:hAnsi="仿宋_GB2312" w:eastAsia="仿宋_GB2312" w:cs="仿宋_GB2312"/>
          <w:color w:val="000000"/>
          <w:sz w:val="32"/>
          <w:szCs w:val="32"/>
        </w:rPr>
        <w:t>、差旅费</w:t>
      </w:r>
      <w:r>
        <w:rPr>
          <w:rFonts w:hint="eastAsia" w:ascii="仿宋_GB2312" w:hAnsi="仿宋_GB2312" w:eastAsia="仿宋_GB2312" w:cs="仿宋_GB2312"/>
          <w:color w:val="000000"/>
          <w:sz w:val="32"/>
          <w:szCs w:val="32"/>
          <w:lang w:val="en-US" w:eastAsia="zh-CN"/>
        </w:rPr>
        <w:t>287.03万元</w:t>
      </w:r>
      <w:r>
        <w:rPr>
          <w:rFonts w:hint="eastAsia" w:ascii="仿宋_GB2312" w:hAnsi="仿宋_GB2312" w:eastAsia="仿宋_GB2312" w:cs="仿宋_GB2312"/>
          <w:color w:val="000000"/>
          <w:sz w:val="32"/>
          <w:szCs w:val="32"/>
        </w:rPr>
        <w:t>、维修（护）费</w:t>
      </w:r>
      <w:r>
        <w:rPr>
          <w:rFonts w:hint="eastAsia" w:ascii="仿宋_GB2312" w:hAnsi="仿宋_GB2312" w:eastAsia="仿宋_GB2312" w:cs="仿宋_GB2312"/>
          <w:color w:val="000000"/>
          <w:sz w:val="32"/>
          <w:szCs w:val="32"/>
          <w:lang w:val="en-US" w:eastAsia="zh-CN"/>
        </w:rPr>
        <w:t>41.2万元</w:t>
      </w:r>
      <w:r>
        <w:rPr>
          <w:rFonts w:hint="eastAsia" w:ascii="仿宋_GB2312" w:hAnsi="仿宋_GB2312" w:eastAsia="仿宋_GB2312" w:cs="仿宋_GB2312"/>
          <w:color w:val="000000"/>
          <w:sz w:val="32"/>
          <w:szCs w:val="32"/>
        </w:rPr>
        <w:t>、会议费</w:t>
      </w:r>
      <w:r>
        <w:rPr>
          <w:rFonts w:hint="eastAsia" w:ascii="仿宋_GB2312" w:hAnsi="仿宋_GB2312" w:eastAsia="仿宋_GB2312" w:cs="仿宋_GB2312"/>
          <w:color w:val="000000"/>
          <w:sz w:val="32"/>
          <w:szCs w:val="32"/>
          <w:lang w:val="en-US" w:eastAsia="zh-CN"/>
        </w:rPr>
        <w:t>18.19万元</w:t>
      </w:r>
      <w:r>
        <w:rPr>
          <w:rFonts w:hint="eastAsia" w:ascii="仿宋_GB2312" w:hAnsi="仿宋_GB2312" w:eastAsia="仿宋_GB2312" w:cs="仿宋_GB2312"/>
          <w:color w:val="000000"/>
          <w:sz w:val="32"/>
          <w:szCs w:val="32"/>
        </w:rPr>
        <w:t>、培训费</w:t>
      </w:r>
      <w:r>
        <w:rPr>
          <w:rFonts w:hint="eastAsia" w:ascii="仿宋_GB2312" w:hAnsi="仿宋_GB2312" w:eastAsia="仿宋_GB2312" w:cs="仿宋_GB2312"/>
          <w:color w:val="000000"/>
          <w:sz w:val="32"/>
          <w:szCs w:val="32"/>
          <w:lang w:val="en-US" w:eastAsia="zh-CN"/>
        </w:rPr>
        <w:t>13.73万元</w:t>
      </w:r>
      <w:r>
        <w:rPr>
          <w:rFonts w:hint="eastAsia" w:ascii="仿宋_GB2312" w:hAnsi="仿宋_GB2312" w:eastAsia="仿宋_GB2312" w:cs="仿宋_GB2312"/>
          <w:color w:val="000000"/>
          <w:sz w:val="32"/>
          <w:szCs w:val="32"/>
        </w:rPr>
        <w:t>、公务接待费</w:t>
      </w:r>
      <w:r>
        <w:rPr>
          <w:rFonts w:hint="eastAsia" w:ascii="仿宋_GB2312" w:hAnsi="仿宋_GB2312" w:eastAsia="仿宋_GB2312" w:cs="仿宋_GB2312"/>
          <w:color w:val="000000"/>
          <w:sz w:val="32"/>
          <w:szCs w:val="32"/>
          <w:lang w:val="en-US" w:eastAsia="zh-CN"/>
        </w:rPr>
        <w:t>8.13万元</w:t>
      </w:r>
      <w:r>
        <w:rPr>
          <w:rFonts w:hint="eastAsia" w:ascii="仿宋_GB2312" w:hAnsi="仿宋_GB2312" w:eastAsia="仿宋_GB2312" w:cs="仿宋_GB2312"/>
          <w:color w:val="000000"/>
          <w:sz w:val="32"/>
          <w:szCs w:val="32"/>
        </w:rPr>
        <w:t>、劳务费</w:t>
      </w:r>
      <w:r>
        <w:rPr>
          <w:rFonts w:hint="eastAsia" w:ascii="仿宋_GB2312" w:hAnsi="仿宋_GB2312" w:eastAsia="仿宋_GB2312" w:cs="仿宋_GB2312"/>
          <w:color w:val="000000"/>
          <w:sz w:val="32"/>
          <w:szCs w:val="32"/>
          <w:lang w:val="en-US" w:eastAsia="zh-CN"/>
        </w:rPr>
        <w:t>2.87万元</w:t>
      </w:r>
      <w:r>
        <w:rPr>
          <w:rFonts w:hint="eastAsia" w:ascii="仿宋_GB2312" w:hAnsi="仿宋_GB2312" w:eastAsia="仿宋_GB2312" w:cs="仿宋_GB2312"/>
          <w:color w:val="000000"/>
          <w:sz w:val="32"/>
          <w:szCs w:val="32"/>
        </w:rPr>
        <w:t>、工会经费</w:t>
      </w:r>
      <w:r>
        <w:rPr>
          <w:rFonts w:hint="eastAsia" w:ascii="仿宋_GB2312" w:hAnsi="仿宋_GB2312" w:eastAsia="仿宋_GB2312" w:cs="仿宋_GB2312"/>
          <w:color w:val="000000"/>
          <w:sz w:val="32"/>
          <w:szCs w:val="32"/>
          <w:lang w:val="en-US" w:eastAsia="zh-CN"/>
        </w:rPr>
        <w:t>50.26万元</w:t>
      </w:r>
      <w:r>
        <w:rPr>
          <w:rFonts w:hint="eastAsia" w:ascii="仿宋_GB2312" w:hAnsi="仿宋_GB2312" w:eastAsia="仿宋_GB2312" w:cs="仿宋_GB2312"/>
          <w:color w:val="000000"/>
          <w:sz w:val="32"/>
          <w:szCs w:val="32"/>
        </w:rPr>
        <w:t>、福利费</w:t>
      </w:r>
      <w:r>
        <w:rPr>
          <w:rFonts w:hint="eastAsia" w:ascii="仿宋_GB2312" w:hAnsi="仿宋_GB2312" w:eastAsia="仿宋_GB2312" w:cs="仿宋_GB2312"/>
          <w:color w:val="000000"/>
          <w:sz w:val="32"/>
          <w:szCs w:val="32"/>
          <w:lang w:val="en-US" w:eastAsia="zh-CN"/>
        </w:rPr>
        <w:t>35.97万元</w:t>
      </w:r>
      <w:r>
        <w:rPr>
          <w:rFonts w:hint="eastAsia" w:ascii="仿宋_GB2312" w:hAnsi="仿宋_GB2312" w:eastAsia="仿宋_GB2312" w:cs="仿宋_GB2312"/>
          <w:color w:val="000000"/>
          <w:sz w:val="32"/>
          <w:szCs w:val="32"/>
        </w:rPr>
        <w:t>、公务用车运行维护费</w:t>
      </w:r>
      <w:r>
        <w:rPr>
          <w:rFonts w:hint="eastAsia" w:ascii="仿宋_GB2312" w:hAnsi="仿宋_GB2312" w:eastAsia="仿宋_GB2312" w:cs="仿宋_GB2312"/>
          <w:color w:val="000000"/>
          <w:sz w:val="32"/>
          <w:szCs w:val="32"/>
          <w:lang w:val="en-US" w:eastAsia="zh-CN"/>
        </w:rPr>
        <w:t>48.84万元</w:t>
      </w:r>
      <w:r>
        <w:rPr>
          <w:rFonts w:hint="eastAsia" w:ascii="仿宋_GB2312" w:hAnsi="仿宋_GB2312" w:eastAsia="仿宋_GB2312" w:cs="仿宋_GB2312"/>
          <w:color w:val="000000"/>
          <w:sz w:val="32"/>
          <w:szCs w:val="32"/>
        </w:rPr>
        <w:t>、其他交通费用</w:t>
      </w:r>
      <w:r>
        <w:rPr>
          <w:rFonts w:hint="eastAsia" w:ascii="仿宋_GB2312" w:hAnsi="仿宋_GB2312" w:eastAsia="仿宋_GB2312" w:cs="仿宋_GB2312"/>
          <w:color w:val="000000"/>
          <w:sz w:val="32"/>
          <w:szCs w:val="32"/>
          <w:lang w:val="en-US" w:eastAsia="zh-CN"/>
        </w:rPr>
        <w:t>96.93</w:t>
      </w:r>
      <w:r>
        <w:rPr>
          <w:rFonts w:hint="eastAsia" w:ascii="仿宋_GB2312" w:hAnsi="仿宋_GB2312" w:eastAsia="仿宋_GB2312" w:cs="仿宋_GB2312"/>
          <w:color w:val="000000"/>
          <w:sz w:val="32"/>
          <w:szCs w:val="32"/>
        </w:rPr>
        <w:t>万元、其他商品和服务支出</w:t>
      </w:r>
      <w:r>
        <w:rPr>
          <w:rFonts w:hint="eastAsia" w:ascii="仿宋_GB2312" w:hAnsi="仿宋_GB2312" w:eastAsia="仿宋_GB2312" w:cs="仿宋_GB2312"/>
          <w:color w:val="000000"/>
          <w:sz w:val="32"/>
          <w:szCs w:val="32"/>
          <w:lang w:val="en-US" w:eastAsia="zh-CN"/>
        </w:rPr>
        <w:t>59.84万元</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textAlignment w:val="auto"/>
        <w:outlineLvl w:val="1"/>
        <w:rPr>
          <w:rStyle w:val="28"/>
          <w:rFonts w:ascii="黑体" w:hAnsi="黑体" w:eastAsia="黑体"/>
          <w:b w:val="0"/>
        </w:rPr>
      </w:pPr>
      <w:bookmarkStart w:id="54" w:name="_Toc15377215"/>
      <w:bookmarkStart w:id="55" w:name="_Toc15396609"/>
      <w:r>
        <w:rPr>
          <w:rFonts w:hint="eastAsia" w:ascii="黑体" w:eastAsia="黑体"/>
          <w:color w:val="000000"/>
          <w:sz w:val="32"/>
          <w:szCs w:val="32"/>
        </w:rPr>
        <w:t>七、</w:t>
      </w:r>
      <w:r>
        <w:rPr>
          <w:rStyle w:val="28"/>
          <w:rFonts w:hint="eastAsia" w:ascii="黑体" w:hAnsi="黑体" w:eastAsia="黑体"/>
        </w:rPr>
        <w:t>“</w:t>
      </w:r>
      <w:r>
        <w:rPr>
          <w:rStyle w:val="28"/>
          <w:rFonts w:hint="eastAsia" w:ascii="黑体" w:hAnsi="黑体" w:eastAsia="黑体"/>
          <w:b w:val="0"/>
        </w:rPr>
        <w:t>三公”经费财政拨款支出决算情况说明</w:t>
      </w:r>
      <w:bookmarkEnd w:id="54"/>
      <w:bookmarkEnd w:id="55"/>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textAlignment w:val="auto"/>
        <w:outlineLvl w:val="2"/>
        <w:rPr>
          <w:rFonts w:hint="eastAsia" w:ascii="方正楷体_GBK" w:hAnsi="方正楷体_GBK" w:eastAsia="方正楷体_GBK" w:cs="方正楷体_GBK"/>
          <w:b/>
          <w:color w:val="000000"/>
          <w:sz w:val="32"/>
          <w:szCs w:val="32"/>
        </w:rPr>
      </w:pPr>
      <w:bookmarkStart w:id="56" w:name="_Toc15377216"/>
      <w:r>
        <w:rPr>
          <w:rFonts w:hint="eastAsia" w:ascii="方正楷体_GBK" w:hAnsi="方正楷体_GBK" w:eastAsia="方正楷体_GBK" w:cs="方正楷体_GBK"/>
          <w:b/>
          <w:color w:val="000000"/>
          <w:sz w:val="32"/>
          <w:szCs w:val="32"/>
        </w:rPr>
        <w:t>（一）“三公”经费财政拨款支出决算总体情况说明</w:t>
      </w:r>
      <w:bookmarkEnd w:id="56"/>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textAlignment w:val="auto"/>
        <w:rPr>
          <w:rFonts w:ascii="仿宋" w:hAnsi="仿宋" w:eastAsia="仿宋"/>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年“三公”经费财政拨款支出决算为</w:t>
      </w:r>
      <w:r>
        <w:rPr>
          <w:rFonts w:hint="eastAsia" w:ascii="仿宋_GB2312" w:hAnsi="仿宋_GB2312" w:eastAsia="仿宋_GB2312" w:cs="仿宋_GB2312"/>
          <w:color w:val="000000"/>
          <w:sz w:val="32"/>
          <w:szCs w:val="32"/>
          <w:lang w:val="en-US" w:eastAsia="zh-CN"/>
        </w:rPr>
        <w:t>86.93</w:t>
      </w:r>
      <w:r>
        <w:rPr>
          <w:rFonts w:hint="eastAsia" w:ascii="仿宋_GB2312" w:hAnsi="仿宋_GB2312" w:eastAsia="仿宋_GB2312" w:cs="仿宋_GB2312"/>
          <w:color w:val="000000"/>
          <w:sz w:val="32"/>
          <w:szCs w:val="32"/>
        </w:rPr>
        <w:t>万元，完成预算</w:t>
      </w:r>
      <w:r>
        <w:rPr>
          <w:rFonts w:hint="eastAsia" w:ascii="仿宋_GB2312" w:hAnsi="仿宋_GB2312" w:eastAsia="仿宋_GB2312" w:cs="仿宋_GB2312"/>
          <w:color w:val="000000"/>
          <w:sz w:val="32"/>
          <w:szCs w:val="32"/>
          <w:lang w:val="en-US" w:eastAsia="zh-CN"/>
        </w:rPr>
        <w:t>79.97</w:t>
      </w:r>
      <w:r>
        <w:rPr>
          <w:rFonts w:hint="eastAsia" w:ascii="仿宋_GB2312" w:hAnsi="仿宋_GB2312" w:eastAsia="仿宋_GB2312" w:cs="仿宋_GB2312"/>
          <w:color w:val="000000"/>
          <w:sz w:val="32"/>
          <w:szCs w:val="32"/>
        </w:rPr>
        <w:t>%，决算数小于预算数的主要原因</w:t>
      </w:r>
      <w:r>
        <w:rPr>
          <w:rFonts w:hint="eastAsia" w:ascii="仿宋_GB2312" w:hAnsi="仿宋_GB2312" w:eastAsia="仿宋_GB2312" w:cs="仿宋_GB2312"/>
          <w:color w:val="000000"/>
          <w:sz w:val="32"/>
          <w:szCs w:val="32"/>
          <w:lang w:val="en-US" w:eastAsia="zh-CN"/>
        </w:rPr>
        <w:t>是年初预算安排因公出国（境）经费15万元，受疫情影响当年未使用。</w:t>
      </w:r>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textAlignment w:val="auto"/>
        <w:outlineLvl w:val="2"/>
        <w:rPr>
          <w:rFonts w:hint="eastAsia" w:ascii="方正楷体_GBK" w:hAnsi="方正楷体_GBK" w:eastAsia="方正楷体_GBK" w:cs="方正楷体_GBK"/>
          <w:b/>
          <w:color w:val="000000"/>
          <w:sz w:val="32"/>
          <w:szCs w:val="32"/>
        </w:rPr>
      </w:pPr>
      <w:bookmarkStart w:id="57" w:name="_Toc15377217"/>
      <w:r>
        <w:rPr>
          <w:rFonts w:hint="eastAsia" w:ascii="方正楷体_GBK" w:hAnsi="方正楷体_GBK" w:eastAsia="方正楷体_GBK" w:cs="方正楷体_GBK"/>
          <w:b/>
          <w:color w:val="000000"/>
          <w:sz w:val="32"/>
          <w:szCs w:val="32"/>
        </w:rPr>
        <w:t>（二）“三公”经费财政拨款支出决算具体情况说明</w:t>
      </w:r>
      <w:bookmarkEnd w:id="57"/>
    </w:p>
    <w:p>
      <w:pPr>
        <w:keepNext w:val="0"/>
        <w:keepLines w:val="0"/>
        <w:pageBreakBefore w:val="0"/>
        <w:widowControl w:val="0"/>
        <w:kinsoku/>
        <w:wordWrap/>
        <w:overflowPunct/>
        <w:topLinePunct w:val="0"/>
        <w:autoSpaceDE/>
        <w:autoSpaceDN/>
        <w:bidi w:val="0"/>
        <w:adjustRightInd w:val="0"/>
        <w:snapToGrid w:val="0"/>
        <w:spacing w:line="580" w:lineRule="exact"/>
        <w:ind w:left="0" w:right="0"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年“三公”经费财政拨款支出决算中，因公出国（境）费支出决算</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万元；公务用车购置及运行维护费支出决算</w:t>
      </w:r>
      <w:r>
        <w:rPr>
          <w:rFonts w:hint="eastAsia" w:ascii="仿宋_GB2312" w:hAnsi="仿宋_GB2312" w:eastAsia="仿宋_GB2312" w:cs="仿宋_GB2312"/>
          <w:color w:val="000000"/>
          <w:sz w:val="32"/>
          <w:szCs w:val="32"/>
          <w:lang w:val="en-US" w:eastAsia="zh-CN"/>
        </w:rPr>
        <w:t>78.8</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90.65</w:t>
      </w:r>
      <w:r>
        <w:rPr>
          <w:rFonts w:hint="eastAsia" w:ascii="仿宋_GB2312" w:hAnsi="仿宋_GB2312" w:eastAsia="仿宋_GB2312" w:cs="仿宋_GB2312"/>
          <w:color w:val="000000"/>
          <w:sz w:val="32"/>
          <w:szCs w:val="32"/>
        </w:rPr>
        <w:t>%；公务接待费支出决算</w:t>
      </w:r>
      <w:r>
        <w:rPr>
          <w:rFonts w:hint="eastAsia" w:ascii="仿宋_GB2312" w:hAnsi="仿宋_GB2312" w:eastAsia="仿宋_GB2312" w:cs="仿宋_GB2312"/>
          <w:color w:val="000000"/>
          <w:sz w:val="32"/>
          <w:szCs w:val="32"/>
          <w:lang w:val="en-US" w:eastAsia="zh-CN"/>
        </w:rPr>
        <w:t>8.13</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9.35</w:t>
      </w:r>
      <w:r>
        <w:rPr>
          <w:rFonts w:hint="eastAsia" w:ascii="仿宋_GB2312" w:hAnsi="仿宋_GB2312" w:eastAsia="仿宋_GB2312" w:cs="仿宋_GB2312"/>
          <w:color w:val="000000"/>
          <w:sz w:val="32"/>
          <w:szCs w:val="32"/>
        </w:rPr>
        <w:t>%。具体情况如下：</w:t>
      </w: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r>
        <w:drawing>
          <wp:anchor distT="0" distB="0" distL="114935" distR="114935" simplePos="0" relativeHeight="251664384" behindDoc="0" locked="0" layoutInCell="1" allowOverlap="1">
            <wp:simplePos x="0" y="0"/>
            <wp:positionH relativeFrom="column">
              <wp:posOffset>447675</wp:posOffset>
            </wp:positionH>
            <wp:positionV relativeFrom="page">
              <wp:posOffset>1381760</wp:posOffset>
            </wp:positionV>
            <wp:extent cx="4709160" cy="2788920"/>
            <wp:effectExtent l="6350" t="6350" r="8890" b="8890"/>
            <wp:wrapNone/>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bidi w:val="0"/>
        <w:adjustRightInd w:val="0"/>
        <w:snapToGrid w:val="0"/>
        <w:spacing w:line="560" w:lineRule="exact"/>
        <w:ind w:left="0" w:right="0" w:firstLine="1609" w:firstLineChars="503"/>
        <w:textAlignment w:val="auto"/>
        <w:rPr>
          <w:rFonts w:hint="eastAsia" w:ascii="仿宋_GB2312" w:hAnsi="仿宋_GB2312" w:eastAsia="仿宋_GB2312" w:cs="仿宋_GB2312"/>
          <w:color w:val="000000"/>
          <w:sz w:val="32"/>
          <w:szCs w:val="32"/>
        </w:rPr>
      </w:pPr>
    </w:p>
    <w:p>
      <w:pPr>
        <w:pStyle w:val="2"/>
        <w:rPr>
          <w:rFonts w:hint="eastAsia"/>
        </w:rPr>
      </w:pPr>
    </w:p>
    <w:p>
      <w:pPr>
        <w:keepNext w:val="0"/>
        <w:keepLines w:val="0"/>
        <w:pageBreakBefore w:val="0"/>
        <w:widowControl w:val="0"/>
        <w:kinsoku/>
        <w:wordWrap/>
        <w:overflowPunct/>
        <w:topLinePunct w:val="0"/>
        <w:bidi w:val="0"/>
        <w:adjustRightInd w:val="0"/>
        <w:snapToGrid w:val="0"/>
        <w:spacing w:line="560" w:lineRule="exact"/>
        <w:ind w:left="0" w:right="0" w:firstLine="1609" w:firstLineChars="503"/>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图7：“三公”经费财政拨款支出结构</w:t>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kinsoku/>
        <w:wordWrap/>
        <w:overflowPunct/>
        <w:topLinePunct w:val="0"/>
        <w:bidi w:val="0"/>
        <w:adjustRightInd w:val="0"/>
        <w:snapToGrid w:val="0"/>
        <w:spacing w:line="560" w:lineRule="exact"/>
        <w:ind w:left="0" w:right="0" w:firstLine="64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1.因公出国（境）经费支出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r>
        <w:rPr>
          <w:rStyle w:val="16"/>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color w:val="000000"/>
          <w:sz w:val="32"/>
          <w:szCs w:val="32"/>
        </w:rPr>
        <w:t>全年安排因公出国（境）团组</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次，出国（境）</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人。因公出国（境）支出决算比201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年减少</w:t>
      </w:r>
      <w:r>
        <w:rPr>
          <w:rFonts w:hint="eastAsia" w:ascii="仿宋_GB2312" w:hAnsi="仿宋_GB2312" w:eastAsia="仿宋_GB2312" w:cs="仿宋_GB2312"/>
          <w:color w:val="000000"/>
          <w:sz w:val="32"/>
          <w:szCs w:val="32"/>
          <w:lang w:val="en-US" w:eastAsia="zh-CN"/>
        </w:rPr>
        <w:t>9.75</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%。主要原因是</w:t>
      </w:r>
      <w:r>
        <w:rPr>
          <w:rFonts w:hint="eastAsia" w:ascii="仿宋_GB2312" w:hAnsi="仿宋_GB2312" w:eastAsia="仿宋_GB2312" w:cs="仿宋_GB2312"/>
          <w:color w:val="000000"/>
          <w:sz w:val="32"/>
          <w:szCs w:val="32"/>
          <w:lang w:val="en-US" w:eastAsia="zh-CN"/>
        </w:rPr>
        <w:t>疫情影响减少因公出国（境）活动</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bidi w:val="0"/>
        <w:adjustRightInd w:val="0"/>
        <w:snapToGrid w:val="0"/>
        <w:spacing w:line="560" w:lineRule="exact"/>
        <w:ind w:left="0" w:right="0" w:firstLine="640"/>
        <w:textAlignment w:val="auto"/>
        <w:rPr>
          <w:rFonts w:ascii="仿宋_GB2312" w:eastAsia="仿宋_GB2312"/>
          <w:b/>
          <w:color w:val="000000"/>
          <w:sz w:val="32"/>
          <w:szCs w:val="32"/>
        </w:rPr>
      </w:pPr>
      <w:r>
        <w:rPr>
          <w:rFonts w:hint="eastAsia" w:ascii="仿宋_GB2312" w:hAnsi="仿宋_GB2312" w:eastAsia="仿宋_GB2312" w:cs="仿宋_GB2312"/>
          <w:b/>
          <w:color w:val="000000"/>
          <w:sz w:val="32"/>
          <w:szCs w:val="32"/>
        </w:rPr>
        <w:t>2.公务用车购置及运行维护费支出</w:t>
      </w:r>
      <w:r>
        <w:rPr>
          <w:rFonts w:hint="eastAsia" w:ascii="仿宋_GB2312" w:hAnsi="仿宋_GB2312" w:eastAsia="仿宋_GB2312" w:cs="仿宋_GB2312"/>
          <w:color w:val="000000"/>
          <w:sz w:val="32"/>
          <w:szCs w:val="32"/>
          <w:lang w:val="en-US" w:eastAsia="zh-CN"/>
        </w:rPr>
        <w:t>78.8</w:t>
      </w:r>
      <w:r>
        <w:rPr>
          <w:rFonts w:hint="eastAsia" w:ascii="仿宋_GB2312" w:hAnsi="仿宋_GB2312" w:eastAsia="仿宋_GB2312" w:cs="仿宋_GB2312"/>
          <w:color w:val="000000"/>
          <w:sz w:val="32"/>
          <w:szCs w:val="32"/>
        </w:rPr>
        <w:t>万元,</w:t>
      </w:r>
      <w:r>
        <w:rPr>
          <w:rStyle w:val="16"/>
          <w:rFonts w:hint="eastAsia" w:ascii="仿宋_GB2312" w:hAnsi="仿宋_GB2312" w:eastAsia="仿宋_GB2312" w:cs="仿宋_GB2312"/>
          <w:b w:val="0"/>
          <w:bCs/>
          <w:color w:val="000000"/>
          <w:sz w:val="32"/>
          <w:szCs w:val="32"/>
        </w:rPr>
        <w:t>完成预算</w:t>
      </w:r>
      <w:r>
        <w:rPr>
          <w:rStyle w:val="16"/>
          <w:rFonts w:hint="eastAsia" w:ascii="仿宋_GB2312" w:hAnsi="仿宋_GB2312" w:eastAsia="仿宋_GB2312" w:cs="仿宋_GB2312"/>
          <w:b w:val="0"/>
          <w:bCs/>
          <w:color w:val="000000"/>
          <w:sz w:val="32"/>
          <w:szCs w:val="32"/>
          <w:lang w:val="en-US" w:eastAsia="zh-CN"/>
        </w:rPr>
        <w:t>99.87</w:t>
      </w:r>
      <w:r>
        <w:rPr>
          <w:rStyle w:val="16"/>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color w:val="000000"/>
          <w:sz w:val="32"/>
          <w:szCs w:val="32"/>
        </w:rPr>
        <w:t>公务用车购置及运行维护费支出决算比201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年增加</w:t>
      </w:r>
      <w:r>
        <w:rPr>
          <w:rFonts w:hint="eastAsia" w:ascii="仿宋_GB2312" w:hAnsi="仿宋_GB2312" w:eastAsia="仿宋_GB2312" w:cs="仿宋_GB2312"/>
          <w:color w:val="000000"/>
          <w:sz w:val="32"/>
          <w:szCs w:val="32"/>
          <w:lang w:val="en-US" w:eastAsia="zh-CN"/>
        </w:rPr>
        <w:t>32.62</w:t>
      </w:r>
      <w:r>
        <w:rPr>
          <w:rFonts w:hint="eastAsia" w:ascii="仿宋_GB2312" w:hAnsi="仿宋_GB2312" w:eastAsia="仿宋_GB2312" w:cs="仿宋_GB2312"/>
          <w:color w:val="000000"/>
          <w:sz w:val="32"/>
          <w:szCs w:val="32"/>
        </w:rPr>
        <w:t>万元，增长</w:t>
      </w:r>
      <w:r>
        <w:rPr>
          <w:rFonts w:hint="eastAsia" w:ascii="仿宋_GB2312" w:hAnsi="仿宋_GB2312" w:eastAsia="仿宋_GB2312" w:cs="仿宋_GB2312"/>
          <w:color w:val="000000"/>
          <w:sz w:val="32"/>
          <w:szCs w:val="32"/>
          <w:lang w:val="en-US" w:eastAsia="zh-CN"/>
        </w:rPr>
        <w:t>70.63</w:t>
      </w:r>
      <w:r>
        <w:rPr>
          <w:rFonts w:hint="eastAsia" w:ascii="仿宋_GB2312" w:hAnsi="仿宋_GB2312" w:eastAsia="仿宋_GB2312" w:cs="仿宋_GB2312"/>
          <w:color w:val="000000"/>
          <w:sz w:val="32"/>
          <w:szCs w:val="32"/>
        </w:rPr>
        <w:t>%。主要原因是</w:t>
      </w:r>
      <w:r>
        <w:rPr>
          <w:rFonts w:hint="eastAsia" w:ascii="仿宋_GB2312" w:hAnsi="仿宋_GB2312" w:eastAsia="仿宋_GB2312" w:cs="仿宋_GB2312"/>
          <w:color w:val="000000"/>
          <w:sz w:val="32"/>
          <w:szCs w:val="32"/>
          <w:lang w:val="en-US" w:eastAsia="zh-CN"/>
        </w:rPr>
        <w:t>预算安排四川省贸易学校公务用车购置经费30万元，实际支出29.96万元（新购2辆）</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bidi w:val="0"/>
        <w:adjustRightInd w:val="0"/>
        <w:snapToGrid w:val="0"/>
        <w:spacing w:line="560" w:lineRule="exact"/>
        <w:ind w:left="0" w:right="0" w:firstLine="640"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其中：</w:t>
      </w:r>
      <w:r>
        <w:rPr>
          <w:rFonts w:hint="eastAsia" w:ascii="仿宋_GB2312" w:hAnsi="仿宋_GB2312" w:eastAsia="仿宋_GB2312" w:cs="仿宋_GB2312"/>
          <w:b/>
          <w:color w:val="000000"/>
          <w:sz w:val="32"/>
          <w:szCs w:val="32"/>
        </w:rPr>
        <w:t>公务用车购置支出</w:t>
      </w:r>
      <w:r>
        <w:rPr>
          <w:rFonts w:hint="eastAsia" w:ascii="仿宋_GB2312" w:hAnsi="仿宋_GB2312" w:eastAsia="仿宋_GB2312" w:cs="仿宋_GB2312"/>
          <w:color w:val="000000"/>
          <w:sz w:val="32"/>
          <w:szCs w:val="32"/>
          <w:lang w:val="en-US" w:eastAsia="zh-CN"/>
        </w:rPr>
        <w:t>29.96</w:t>
      </w:r>
      <w:r>
        <w:rPr>
          <w:rFonts w:hint="eastAsia" w:ascii="仿宋_GB2312" w:hAnsi="仿宋_GB2312" w:eastAsia="仿宋_GB2312" w:cs="仿宋_GB2312"/>
          <w:color w:val="000000"/>
          <w:sz w:val="32"/>
          <w:szCs w:val="32"/>
        </w:rPr>
        <w:t>万元。全年按规定更新购置公务用车</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辆，其中：轿车</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辆、金额</w:t>
      </w:r>
      <w:r>
        <w:rPr>
          <w:rFonts w:hint="eastAsia" w:ascii="仿宋_GB2312" w:hAnsi="仿宋_GB2312" w:eastAsia="仿宋_GB2312" w:cs="仿宋_GB2312"/>
          <w:color w:val="000000"/>
          <w:sz w:val="32"/>
          <w:szCs w:val="32"/>
          <w:lang w:val="en-US" w:eastAsia="zh-CN"/>
        </w:rPr>
        <w:t>29.96</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主要用</w:t>
      </w:r>
      <w:r>
        <w:rPr>
          <w:rFonts w:hint="eastAsia" w:ascii="仿宋_GB2312" w:hAnsi="仿宋_GB2312" w:eastAsia="仿宋_GB2312" w:cs="仿宋_GB2312"/>
          <w:color w:val="000000"/>
          <w:sz w:val="32"/>
          <w:szCs w:val="32"/>
          <w:lang w:val="en-US" w:eastAsia="zh-CN"/>
        </w:rPr>
        <w:t>于学校教育事业发展</w:t>
      </w:r>
      <w:r>
        <w:rPr>
          <w:rFonts w:hint="eastAsia" w:ascii="仿宋_GB2312" w:hAnsi="仿宋_GB2312" w:eastAsia="仿宋_GB2312" w:cs="仿宋_GB2312"/>
          <w:color w:val="000000"/>
          <w:sz w:val="32"/>
          <w:szCs w:val="32"/>
        </w:rPr>
        <w:t>。截至20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年12月底，单位共有公务用车</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辆，其中：轿车</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辆、越野车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辆、载客汽车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w:t>
      </w:r>
    </w:p>
    <w:p>
      <w:pPr>
        <w:keepNext w:val="0"/>
        <w:keepLines w:val="0"/>
        <w:pageBreakBefore w:val="0"/>
        <w:widowControl w:val="0"/>
        <w:kinsoku/>
        <w:wordWrap/>
        <w:overflowPunct/>
        <w:topLinePunct w:val="0"/>
        <w:bidi w:val="0"/>
        <w:adjustRightInd w:val="0"/>
        <w:snapToGrid w:val="0"/>
        <w:spacing w:line="560" w:lineRule="exact"/>
        <w:ind w:left="0" w:right="0"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公务用车运行维护费支出</w:t>
      </w:r>
      <w:r>
        <w:rPr>
          <w:rFonts w:hint="eastAsia" w:ascii="仿宋_GB2312" w:hAnsi="仿宋_GB2312" w:eastAsia="仿宋_GB2312" w:cs="仿宋_GB2312"/>
          <w:color w:val="000000"/>
          <w:sz w:val="32"/>
          <w:szCs w:val="32"/>
          <w:lang w:val="en-US" w:eastAsia="zh-CN"/>
        </w:rPr>
        <w:t>48.84</w:t>
      </w:r>
      <w:r>
        <w:rPr>
          <w:rFonts w:hint="eastAsia" w:ascii="仿宋_GB2312" w:hAnsi="仿宋_GB2312" w:eastAsia="仿宋_GB2312" w:cs="仿宋_GB2312"/>
          <w:color w:val="000000"/>
          <w:sz w:val="32"/>
          <w:szCs w:val="32"/>
        </w:rPr>
        <w:t>万元。主要用于保障对全省供销社系统工作的指导，对直属企事业单位工作的领导和管理工作等公务活动，以及机要交换等所需的公务用车燃料费、维修费、过路过桥费、保险费等支出。</w:t>
      </w:r>
    </w:p>
    <w:p>
      <w:pPr>
        <w:keepNext w:val="0"/>
        <w:keepLines w:val="0"/>
        <w:pageBreakBefore w:val="0"/>
        <w:widowControl w:val="0"/>
        <w:kinsoku/>
        <w:wordWrap/>
        <w:overflowPunct/>
        <w:topLinePunct w:val="0"/>
        <w:bidi w:val="0"/>
        <w:adjustRightInd w:val="0"/>
        <w:snapToGrid w:val="0"/>
        <w:spacing w:line="560" w:lineRule="exact"/>
        <w:ind w:left="0" w:right="0" w:firstLine="64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color w:val="000000"/>
          <w:sz w:val="32"/>
          <w:szCs w:val="32"/>
        </w:rPr>
        <w:t>3.公务接待费支出</w:t>
      </w:r>
      <w:r>
        <w:rPr>
          <w:rFonts w:hint="eastAsia" w:ascii="仿宋_GB2312" w:hAnsi="仿宋_GB2312" w:eastAsia="仿宋_GB2312" w:cs="仿宋_GB2312"/>
          <w:color w:val="000000"/>
          <w:sz w:val="32"/>
          <w:szCs w:val="32"/>
          <w:lang w:val="en-US" w:eastAsia="zh-CN"/>
        </w:rPr>
        <w:t>8.13</w:t>
      </w:r>
      <w:r>
        <w:rPr>
          <w:rFonts w:hint="eastAsia" w:ascii="仿宋_GB2312" w:hAnsi="仿宋_GB2312" w:eastAsia="仿宋_GB2312" w:cs="仿宋_GB2312"/>
          <w:color w:val="000000"/>
          <w:sz w:val="32"/>
          <w:szCs w:val="32"/>
        </w:rPr>
        <w:t>万元，</w:t>
      </w:r>
      <w:r>
        <w:rPr>
          <w:rStyle w:val="16"/>
          <w:rFonts w:hint="eastAsia" w:ascii="仿宋_GB2312" w:hAnsi="仿宋_GB2312" w:eastAsia="仿宋_GB2312" w:cs="仿宋_GB2312"/>
          <w:b w:val="0"/>
          <w:bCs/>
          <w:color w:val="000000"/>
          <w:sz w:val="32"/>
          <w:szCs w:val="32"/>
        </w:rPr>
        <w:t>完成预算</w:t>
      </w:r>
      <w:r>
        <w:rPr>
          <w:rStyle w:val="16"/>
          <w:rFonts w:hint="eastAsia" w:ascii="仿宋_GB2312" w:hAnsi="仿宋_GB2312" w:eastAsia="仿宋_GB2312" w:cs="仿宋_GB2312"/>
          <w:b w:val="0"/>
          <w:bCs/>
          <w:color w:val="000000"/>
          <w:sz w:val="32"/>
          <w:szCs w:val="32"/>
          <w:lang w:val="en-US" w:eastAsia="zh-CN"/>
        </w:rPr>
        <w:t>54.93</w:t>
      </w:r>
      <w:r>
        <w:rPr>
          <w:rStyle w:val="16"/>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color w:val="000000"/>
          <w:sz w:val="32"/>
          <w:szCs w:val="32"/>
        </w:rPr>
        <w:t>公务接待费支出决算比201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年减少</w:t>
      </w:r>
      <w:r>
        <w:rPr>
          <w:rFonts w:hint="eastAsia" w:ascii="仿宋_GB2312" w:hAnsi="仿宋_GB2312" w:eastAsia="仿宋_GB2312" w:cs="仿宋_GB2312"/>
          <w:color w:val="000000"/>
          <w:sz w:val="32"/>
          <w:szCs w:val="32"/>
          <w:lang w:val="en-US" w:eastAsia="zh-CN"/>
        </w:rPr>
        <w:t>1.53</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15.84</w:t>
      </w:r>
      <w:r>
        <w:rPr>
          <w:rFonts w:hint="eastAsia" w:ascii="仿宋_GB2312" w:hAnsi="仿宋_GB2312" w:eastAsia="仿宋_GB2312" w:cs="仿宋_GB2312"/>
          <w:color w:val="000000"/>
          <w:sz w:val="32"/>
          <w:szCs w:val="32"/>
        </w:rPr>
        <w:t>%。主</w:t>
      </w:r>
      <w:r>
        <w:rPr>
          <w:rFonts w:hint="eastAsia" w:ascii="仿宋_GB2312" w:hAnsi="仿宋_GB2312" w:eastAsia="仿宋_GB2312" w:cs="仿宋_GB2312"/>
          <w:color w:val="000000"/>
          <w:sz w:val="32"/>
          <w:szCs w:val="32"/>
          <w:lang w:val="en-US" w:eastAsia="zh-CN"/>
        </w:rPr>
        <w:t>要原因是公务接待活动减少。其中：</w:t>
      </w:r>
    </w:p>
    <w:p>
      <w:pPr>
        <w:keepNext w:val="0"/>
        <w:keepLines w:val="0"/>
        <w:pageBreakBefore w:val="0"/>
        <w:widowControl w:val="0"/>
        <w:kinsoku/>
        <w:wordWrap/>
        <w:overflowPunct/>
        <w:topLinePunct w:val="0"/>
        <w:bidi w:val="0"/>
        <w:adjustRightInd w:val="0"/>
        <w:snapToGrid w:val="0"/>
        <w:spacing w:line="560" w:lineRule="exact"/>
        <w:ind w:left="0" w:right="0" w:firstLine="64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国内公务接待支出</w:t>
      </w:r>
      <w:r>
        <w:rPr>
          <w:rFonts w:hint="eastAsia" w:ascii="仿宋_GB2312" w:hAnsi="仿宋_GB2312" w:eastAsia="仿宋_GB2312" w:cs="仿宋_GB2312"/>
          <w:color w:val="000000"/>
          <w:sz w:val="32"/>
          <w:szCs w:val="32"/>
          <w:lang w:val="en-US" w:eastAsia="zh-CN"/>
        </w:rPr>
        <w:t>8.13万元，主要用于执行公务、开展业务活动开支的交通费、住宿费、用餐费等。国内公务接待84批次，677人次（不包括陪同人员），共计支出8.13万元，具体内容包括：省社机关履行职责职能所需，以及两所学校教育事业发展的公务接待支出。</w:t>
      </w:r>
    </w:p>
    <w:p>
      <w:pPr>
        <w:keepNext w:val="0"/>
        <w:keepLines w:val="0"/>
        <w:pageBreakBefore w:val="0"/>
        <w:widowControl w:val="0"/>
        <w:kinsoku/>
        <w:wordWrap/>
        <w:overflowPunct/>
        <w:topLinePunct w:val="0"/>
        <w:bidi w:val="0"/>
        <w:adjustRightInd w:val="0"/>
        <w:snapToGrid w:val="0"/>
        <w:spacing w:line="560" w:lineRule="exact"/>
        <w:ind w:left="0" w:right="0" w:firstLine="640" w:firstLineChars="200"/>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sz w:val="32"/>
          <w:szCs w:val="32"/>
          <w:lang w:val="en-US" w:eastAsia="zh-CN"/>
        </w:rPr>
        <w:t>2020年无</w:t>
      </w:r>
      <w:r>
        <w:rPr>
          <w:rFonts w:hint="eastAsia" w:ascii="仿宋_GB2312" w:hAnsi="仿宋_GB2312" w:eastAsia="仿宋_GB2312" w:cs="仿宋_GB2312"/>
          <w:b/>
          <w:bCs w:val="0"/>
          <w:color w:val="000000"/>
          <w:sz w:val="32"/>
          <w:szCs w:val="32"/>
        </w:rPr>
        <w:t>外事接待支出</w:t>
      </w:r>
      <w:r>
        <w:rPr>
          <w:rFonts w:hint="eastAsia" w:ascii="仿宋_GB2312" w:hAnsi="仿宋_GB2312" w:eastAsia="仿宋_GB2312" w:cs="仿宋_GB2312"/>
          <w:b w:val="0"/>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560" w:lineRule="exact"/>
        <w:ind w:left="0" w:right="0" w:firstLine="640"/>
        <w:textAlignment w:val="auto"/>
        <w:outlineLvl w:val="1"/>
        <w:rPr>
          <w:rStyle w:val="28"/>
          <w:rFonts w:ascii="黑体" w:hAnsi="黑体" w:eastAsia="黑体"/>
        </w:rPr>
      </w:pPr>
      <w:bookmarkStart w:id="58" w:name="_Toc15396610"/>
      <w:bookmarkStart w:id="59" w:name="_Toc15377218"/>
      <w:r>
        <w:rPr>
          <w:rFonts w:hint="eastAsia" w:ascii="黑体" w:eastAsia="黑体"/>
          <w:color w:val="000000"/>
          <w:sz w:val="32"/>
          <w:szCs w:val="32"/>
        </w:rPr>
        <w:t>八、</w:t>
      </w:r>
      <w:r>
        <w:rPr>
          <w:rStyle w:val="28"/>
          <w:rFonts w:hint="eastAsia" w:ascii="黑体" w:hAnsi="黑体" w:eastAsia="黑体"/>
          <w:b w:val="0"/>
        </w:rPr>
        <w:t>政府性基金预算支出决算情况说明</w:t>
      </w:r>
      <w:bookmarkEnd w:id="58"/>
      <w:bookmarkEnd w:id="59"/>
    </w:p>
    <w:p>
      <w:pPr>
        <w:keepNext w:val="0"/>
        <w:keepLines w:val="0"/>
        <w:pageBreakBefore w:val="0"/>
        <w:widowControl w:val="0"/>
        <w:kinsoku/>
        <w:wordWrap/>
        <w:overflowPunct/>
        <w:topLinePunct w:val="0"/>
        <w:bidi w:val="0"/>
        <w:adjustRightInd w:val="0"/>
        <w:snapToGrid w:val="0"/>
        <w:spacing w:line="560" w:lineRule="exact"/>
        <w:ind w:left="0" w:right="0" w:firstLine="640"/>
        <w:textAlignment w:val="auto"/>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年无政府性基金预算拨款支出。</w:t>
      </w:r>
    </w:p>
    <w:p>
      <w:pPr>
        <w:keepNext w:val="0"/>
        <w:keepLines w:val="0"/>
        <w:pageBreakBefore w:val="0"/>
        <w:widowControl w:val="0"/>
        <w:numPr>
          <w:ilvl w:val="0"/>
          <w:numId w:val="1"/>
        </w:numPr>
        <w:kinsoku/>
        <w:wordWrap/>
        <w:overflowPunct/>
        <w:topLinePunct w:val="0"/>
        <w:bidi w:val="0"/>
        <w:adjustRightInd w:val="0"/>
        <w:snapToGrid w:val="0"/>
        <w:spacing w:line="560" w:lineRule="exact"/>
        <w:ind w:left="0" w:right="0" w:firstLine="640"/>
        <w:textAlignment w:val="auto"/>
        <w:outlineLvl w:val="1"/>
        <w:rPr>
          <w:rStyle w:val="28"/>
          <w:rFonts w:ascii="黑体" w:hAnsi="黑体" w:eastAsia="黑体"/>
          <w:b w:val="0"/>
        </w:rPr>
      </w:pPr>
      <w:bookmarkStart w:id="60" w:name="_Toc15396611"/>
      <w:bookmarkStart w:id="61" w:name="_Toc15377219"/>
      <w:r>
        <w:rPr>
          <w:rStyle w:val="28"/>
          <w:rFonts w:hint="eastAsia" w:ascii="黑体" w:hAnsi="黑体" w:eastAsia="黑体"/>
          <w:b w:val="0"/>
        </w:rPr>
        <w:t>国有资本经营预算支出决算情况说明</w:t>
      </w:r>
      <w:bookmarkEnd w:id="60"/>
      <w:bookmarkEnd w:id="61"/>
    </w:p>
    <w:p>
      <w:pPr>
        <w:keepNext w:val="0"/>
        <w:keepLines w:val="0"/>
        <w:pageBreakBefore w:val="0"/>
        <w:widowControl w:val="0"/>
        <w:kinsoku/>
        <w:wordWrap/>
        <w:overflowPunct/>
        <w:topLinePunct w:val="0"/>
        <w:bidi w:val="0"/>
        <w:adjustRightInd w:val="0"/>
        <w:snapToGrid w:val="0"/>
        <w:spacing w:line="560" w:lineRule="exact"/>
        <w:ind w:left="0" w:right="0" w:firstLine="640"/>
        <w:textAlignment w:val="auto"/>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无</w:t>
      </w:r>
      <w:r>
        <w:rPr>
          <w:rFonts w:hint="eastAsia" w:ascii="仿宋_GB2312" w:eastAsia="仿宋_GB2312"/>
          <w:color w:val="000000"/>
          <w:sz w:val="32"/>
          <w:szCs w:val="32"/>
        </w:rPr>
        <w:t>国有资本经营预算拨款支出</w:t>
      </w:r>
      <w:r>
        <w:rPr>
          <w:rFonts w:hint="eastAsia" w:ascii="仿宋_GB2312" w:eastAsia="仿宋_GB2312"/>
          <w:color w:val="000000"/>
          <w:sz w:val="32"/>
          <w:szCs w:val="32"/>
          <w:lang w:val="en-US" w:eastAsia="zh-CN"/>
        </w:rPr>
        <w:t>。</w:t>
      </w:r>
    </w:p>
    <w:p>
      <w:pPr>
        <w:keepNext w:val="0"/>
        <w:keepLines w:val="0"/>
        <w:pageBreakBefore w:val="0"/>
        <w:widowControl w:val="0"/>
        <w:numPr>
          <w:ilvl w:val="0"/>
          <w:numId w:val="1"/>
        </w:numPr>
        <w:kinsoku/>
        <w:wordWrap/>
        <w:overflowPunct/>
        <w:topLinePunct w:val="0"/>
        <w:bidi w:val="0"/>
        <w:adjustRightInd w:val="0"/>
        <w:snapToGrid w:val="0"/>
        <w:spacing w:line="560" w:lineRule="exact"/>
        <w:ind w:left="0" w:right="0" w:firstLine="640"/>
        <w:textAlignment w:val="auto"/>
        <w:outlineLvl w:val="1"/>
        <w:rPr>
          <w:rStyle w:val="28"/>
          <w:rFonts w:hint="eastAsia" w:ascii="黑体" w:hAnsi="黑体" w:eastAsia="黑体"/>
          <w:b w:val="0"/>
        </w:rPr>
      </w:pPr>
      <w:bookmarkStart w:id="62" w:name="_Toc15377221"/>
      <w:bookmarkStart w:id="63" w:name="_Toc15396612"/>
      <w:r>
        <w:rPr>
          <w:rStyle w:val="28"/>
          <w:rFonts w:hint="eastAsia" w:ascii="黑体" w:hAnsi="黑体" w:eastAsia="黑体"/>
          <w:b w:val="0"/>
        </w:rPr>
        <w:t>其他重要事项的情况说明</w:t>
      </w:r>
      <w:bookmarkEnd w:id="62"/>
      <w:bookmarkEnd w:id="63"/>
    </w:p>
    <w:p>
      <w:pPr>
        <w:keepNext w:val="0"/>
        <w:keepLines w:val="0"/>
        <w:pageBreakBefore w:val="0"/>
        <w:widowControl w:val="0"/>
        <w:kinsoku/>
        <w:wordWrap/>
        <w:overflowPunct/>
        <w:topLinePunct w:val="0"/>
        <w:bidi w:val="0"/>
        <w:adjustRightInd w:val="0"/>
        <w:snapToGrid w:val="0"/>
        <w:spacing w:line="560" w:lineRule="exact"/>
        <w:ind w:left="0" w:right="0" w:firstLine="643" w:firstLineChars="200"/>
        <w:textAlignment w:val="auto"/>
        <w:outlineLvl w:val="2"/>
        <w:rPr>
          <w:rFonts w:hint="eastAsia" w:ascii="方正楷体_GBK" w:hAnsi="方正楷体_GBK" w:eastAsia="方正楷体_GBK" w:cs="方正楷体_GBK"/>
          <w:color w:val="000000"/>
          <w:sz w:val="32"/>
          <w:szCs w:val="32"/>
        </w:rPr>
      </w:pPr>
      <w:bookmarkStart w:id="64" w:name="_Toc15377222"/>
      <w:r>
        <w:rPr>
          <w:rFonts w:hint="eastAsia" w:ascii="方正楷体_GBK" w:hAnsi="方正楷体_GBK" w:eastAsia="方正楷体_GBK" w:cs="方正楷体_GBK"/>
          <w:b/>
          <w:color w:val="000000"/>
          <w:sz w:val="32"/>
          <w:szCs w:val="32"/>
        </w:rPr>
        <w:t>（一）机关运行经费支出情况</w:t>
      </w:r>
      <w:bookmarkEnd w:id="64"/>
    </w:p>
    <w:p>
      <w:pPr>
        <w:keepNext w:val="0"/>
        <w:keepLines w:val="0"/>
        <w:pageBreakBefore w:val="0"/>
        <w:widowControl w:val="0"/>
        <w:kinsoku/>
        <w:wordWrap/>
        <w:overflowPunct/>
        <w:topLinePunct w:val="0"/>
        <w:bidi w:val="0"/>
        <w:adjustRightInd w:val="0"/>
        <w:snapToGrid w:val="0"/>
        <w:spacing w:line="560" w:lineRule="exact"/>
        <w:ind w:left="0" w:right="0"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四川省供销社</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435.48</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年减少</w:t>
      </w:r>
      <w:r>
        <w:rPr>
          <w:rFonts w:hint="eastAsia" w:ascii="仿宋_GB2312" w:eastAsia="仿宋_GB2312"/>
          <w:color w:val="000000"/>
          <w:sz w:val="32"/>
          <w:szCs w:val="32"/>
          <w:lang w:val="en-US" w:eastAsia="zh-CN"/>
        </w:rPr>
        <w:t>86.1</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下</w:t>
      </w:r>
      <w:r>
        <w:rPr>
          <w:rFonts w:hint="eastAsia" w:ascii="仿宋_GB2312" w:eastAsia="仿宋_GB2312"/>
          <w:color w:val="000000"/>
          <w:sz w:val="32"/>
          <w:szCs w:val="32"/>
        </w:rPr>
        <w:t>降</w:t>
      </w:r>
      <w:r>
        <w:rPr>
          <w:rFonts w:hint="eastAsia" w:ascii="仿宋_GB2312" w:eastAsia="仿宋_GB2312"/>
          <w:color w:val="000000"/>
          <w:sz w:val="32"/>
          <w:szCs w:val="32"/>
          <w:lang w:val="en-US" w:eastAsia="zh-CN"/>
        </w:rPr>
        <w:t>16.51</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主要</w:t>
      </w:r>
      <w:r>
        <w:rPr>
          <w:rFonts w:hint="eastAsia" w:ascii="仿宋_GB2312" w:eastAsia="仿宋_GB2312"/>
          <w:color w:val="000000" w:themeColor="text1"/>
          <w:sz w:val="32"/>
          <w:szCs w:val="32"/>
          <w:highlight w:val="none"/>
          <w14:textFill>
            <w14:solidFill>
              <w14:schemeClr w14:val="tx1"/>
            </w14:solidFill>
          </w14:textFill>
        </w:rPr>
        <w:t>原因是</w:t>
      </w:r>
      <w:r>
        <w:rPr>
          <w:rFonts w:hint="eastAsia" w:ascii="仿宋_GB2312" w:eastAsia="仿宋_GB2312"/>
          <w:color w:val="000000" w:themeColor="text1"/>
          <w:sz w:val="32"/>
          <w:szCs w:val="32"/>
          <w:highlight w:val="none"/>
          <w:lang w:val="en-US" w:eastAsia="zh-CN"/>
          <w14:textFill>
            <w14:solidFill>
              <w14:schemeClr w14:val="tx1"/>
            </w14:solidFill>
          </w14:textFill>
        </w:rPr>
        <w:t>2020</w:t>
      </w:r>
      <w:r>
        <w:rPr>
          <w:rFonts w:hint="eastAsia" w:ascii="仿宋_GB2312" w:eastAsia="仿宋_GB2312"/>
          <w:color w:val="000000" w:themeColor="text1"/>
          <w:sz w:val="32"/>
          <w:szCs w:val="32"/>
          <w:highlight w:val="none"/>
          <w14:textFill>
            <w14:solidFill>
              <w14:schemeClr w14:val="tx1"/>
            </w14:solidFill>
          </w14:textFill>
        </w:rPr>
        <w:t>年按财政要求，大幅压减出国费、会议费、培训费、差旅费等支出。</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jc w:val="left"/>
        <w:textAlignment w:val="auto"/>
        <w:outlineLvl w:val="2"/>
        <w:rPr>
          <w:rFonts w:hint="eastAsia" w:ascii="方正楷体_GBK" w:hAnsi="方正楷体_GBK" w:eastAsia="方正楷体_GBK" w:cs="方正楷体_GBK"/>
          <w:b/>
          <w:color w:val="000000"/>
          <w:sz w:val="32"/>
          <w:szCs w:val="32"/>
        </w:rPr>
      </w:pPr>
      <w:bookmarkStart w:id="65" w:name="_Toc15377223"/>
      <w:r>
        <w:rPr>
          <w:rFonts w:hint="eastAsia" w:ascii="方正楷体_GBK" w:hAnsi="方正楷体_GBK" w:eastAsia="方正楷体_GBK" w:cs="方正楷体_GBK"/>
          <w:b/>
          <w:color w:val="000000"/>
          <w:sz w:val="32"/>
          <w:szCs w:val="32"/>
        </w:rPr>
        <w:t>（二）政府采购支出情况</w:t>
      </w:r>
      <w:bookmarkEnd w:id="65"/>
    </w:p>
    <w:p>
      <w:pPr>
        <w:keepNext w:val="0"/>
        <w:keepLines w:val="0"/>
        <w:pageBreakBefore w:val="0"/>
        <w:widowControl w:val="0"/>
        <w:kinsoku/>
        <w:wordWrap/>
        <w:overflowPunct/>
        <w:topLinePunct w:val="0"/>
        <w:bidi w:val="0"/>
        <w:adjustRightInd w:val="0"/>
        <w:snapToGrid w:val="0"/>
        <w:spacing w:line="560" w:lineRule="exact"/>
        <w:ind w:left="0" w:right="0" w:firstLine="640" w:firstLineChars="200"/>
        <w:textAlignment w:val="auto"/>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四川省供销社</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159.86</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13.89</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145.97</w:t>
      </w:r>
      <w:r>
        <w:rPr>
          <w:rFonts w:hint="eastAsia" w:ascii="仿宋_GB2312" w:eastAsia="仿宋_GB2312"/>
          <w:color w:val="000000"/>
          <w:sz w:val="32"/>
          <w:szCs w:val="32"/>
        </w:rPr>
        <w:t>万元。</w:t>
      </w:r>
      <w:r>
        <w:rPr>
          <w:rFonts w:hint="eastAsia" w:ascii="仿宋_GB2312" w:eastAsia="仿宋_GB2312"/>
          <w:color w:val="000000"/>
          <w:sz w:val="32"/>
          <w:szCs w:val="32"/>
          <w:highlight w:val="none"/>
        </w:rPr>
        <w:t>主要用于</w:t>
      </w:r>
      <w:r>
        <w:rPr>
          <w:rFonts w:hint="eastAsia" w:ascii="仿宋_GB2312" w:eastAsia="仿宋_GB2312"/>
          <w:color w:val="000000"/>
          <w:sz w:val="32"/>
          <w:szCs w:val="32"/>
          <w:lang w:val="en-US" w:eastAsia="zh-CN"/>
        </w:rPr>
        <w:t>省社机关以及两所学校购置办公设备、教学设备以及公车运行维护费、物业管理费等支出。</w:t>
      </w:r>
      <w:r>
        <w:rPr>
          <w:rFonts w:hint="eastAsia" w:ascii="仿宋_GB2312" w:eastAsia="仿宋_GB2312"/>
          <w:color w:val="000000"/>
          <w:sz w:val="32"/>
          <w:szCs w:val="32"/>
        </w:rPr>
        <w:t>授予中小企业合同金额</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3.13</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3" w:firstLineChars="200"/>
        <w:jc w:val="left"/>
        <w:textAlignment w:val="auto"/>
        <w:outlineLvl w:val="2"/>
        <w:rPr>
          <w:rFonts w:hint="eastAsia" w:ascii="方正楷体_GBK" w:hAnsi="方正楷体_GBK" w:eastAsia="方正楷体_GBK" w:cs="方正楷体_GBK"/>
          <w:b/>
          <w:color w:val="000000"/>
          <w:sz w:val="32"/>
          <w:szCs w:val="32"/>
        </w:rPr>
      </w:pPr>
      <w:bookmarkStart w:id="66" w:name="_Toc15377224"/>
      <w:r>
        <w:rPr>
          <w:rFonts w:hint="eastAsia" w:ascii="方正楷体_GBK" w:hAnsi="方正楷体_GBK" w:eastAsia="方正楷体_GBK" w:cs="方正楷体_GBK"/>
          <w:b/>
          <w:color w:val="000000"/>
          <w:sz w:val="32"/>
          <w:szCs w:val="32"/>
        </w:rPr>
        <w:t>（三）国有资产占有使用情况</w:t>
      </w:r>
      <w:bookmarkEnd w:id="66"/>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left"/>
        <w:textAlignment w:val="auto"/>
        <w:outlineLvl w:val="2"/>
        <w:rPr>
          <w:rFonts w:hint="eastAsia" w:ascii="仿宋_GB2312" w:hAnsi="仿宋_GB2312" w:eastAsia="仿宋_GB2312" w:cs="仿宋_GB2312"/>
          <w:b/>
          <w:color w:val="0000FF"/>
          <w:sz w:val="32"/>
          <w:szCs w:val="32"/>
        </w:rPr>
      </w:pPr>
      <w:r>
        <w:rPr>
          <w:rFonts w:hint="eastAsia" w:ascii="仿宋_GB2312" w:hAnsi="仿宋_GB2312" w:eastAsia="仿宋_GB2312" w:cs="仿宋_GB2312"/>
          <w:color w:val="000000"/>
          <w:sz w:val="32"/>
          <w:szCs w:val="32"/>
        </w:rPr>
        <w:t>截至20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年12月31日，</w:t>
      </w:r>
      <w:r>
        <w:rPr>
          <w:rFonts w:hint="eastAsia" w:ascii="仿宋_GB2312" w:hAnsi="仿宋_GB2312" w:eastAsia="仿宋_GB2312" w:cs="仿宋_GB2312"/>
          <w:color w:val="000000"/>
          <w:sz w:val="32"/>
          <w:szCs w:val="32"/>
          <w:lang w:val="en-US" w:eastAsia="zh-CN"/>
        </w:rPr>
        <w:t>四川省供销社</w:t>
      </w:r>
      <w:r>
        <w:rPr>
          <w:rFonts w:hint="eastAsia" w:ascii="仿宋_GB2312" w:hAnsi="仿宋_GB2312" w:eastAsia="仿宋_GB2312" w:cs="仿宋_GB2312"/>
          <w:color w:val="000000"/>
          <w:sz w:val="32"/>
          <w:szCs w:val="32"/>
        </w:rPr>
        <w:t>共有车辆</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辆，其中：主要领导干部用车</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辆、机要通信用车</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辆、应急保障用车</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辆、</w:t>
      </w:r>
      <w:r>
        <w:rPr>
          <w:rFonts w:hint="eastAsia" w:ascii="仿宋_GB2312" w:hAnsi="仿宋_GB2312" w:eastAsia="仿宋_GB2312" w:cs="仿宋_GB2312"/>
          <w:color w:val="000000"/>
          <w:sz w:val="32"/>
          <w:szCs w:val="32"/>
          <w:lang w:val="en-US" w:eastAsia="zh-CN"/>
        </w:rPr>
        <w:t>离退休干部用车3辆，</w:t>
      </w:r>
      <w:r>
        <w:rPr>
          <w:rFonts w:hint="eastAsia" w:ascii="仿宋_GB2312" w:hAnsi="仿宋_GB2312" w:eastAsia="仿宋_GB2312" w:cs="仿宋_GB2312"/>
          <w:color w:val="000000"/>
          <w:sz w:val="32"/>
          <w:szCs w:val="32"/>
        </w:rPr>
        <w:t>其他用车</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其他用车主要是用于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四川商贸学校上下班通勤车和公务用车各1辆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无</w:t>
      </w:r>
      <w:r>
        <w:rPr>
          <w:rFonts w:hint="eastAsia" w:ascii="仿宋_GB2312" w:hAnsi="仿宋_GB2312" w:eastAsia="仿宋_GB2312" w:cs="仿宋_GB2312"/>
          <w:color w:val="000000" w:themeColor="text1"/>
          <w:sz w:val="32"/>
          <w:szCs w:val="32"/>
          <w14:textFill>
            <w14:solidFill>
              <w14:schemeClr w14:val="tx1"/>
            </w14:solidFill>
          </w14:textFill>
        </w:rPr>
        <w:t>单价50万元以上通用设备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w:t>
      </w:r>
      <w:r>
        <w:rPr>
          <w:rFonts w:hint="eastAsia" w:ascii="仿宋_GB2312" w:hAnsi="仿宋_GB2312" w:eastAsia="仿宋_GB2312" w:cs="仿宋_GB2312"/>
          <w:color w:val="000000" w:themeColor="text1"/>
          <w:sz w:val="32"/>
          <w:szCs w:val="32"/>
          <w14:textFill>
            <w14:solidFill>
              <w14:schemeClr w14:val="tx1"/>
            </w14:solidFill>
          </w14:textFill>
        </w:rPr>
        <w:t>单价100</w:t>
      </w:r>
      <w:r>
        <w:rPr>
          <w:rFonts w:hint="eastAsia" w:ascii="仿宋_GB2312" w:hAnsi="仿宋_GB2312" w:eastAsia="仿宋_GB2312" w:cs="仿宋_GB2312"/>
          <w:color w:val="000000"/>
          <w:sz w:val="32"/>
          <w:szCs w:val="32"/>
        </w:rPr>
        <w:t>万元以上专用设备。</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jc w:val="left"/>
        <w:textAlignment w:val="auto"/>
        <w:outlineLvl w:val="2"/>
        <w:rPr>
          <w:rFonts w:hint="eastAsia" w:ascii="方正楷体_GBK" w:hAnsi="方正楷体_GBK" w:eastAsia="方正楷体_GBK" w:cs="方正楷体_GBK"/>
          <w:b/>
          <w:color w:val="auto"/>
          <w:sz w:val="32"/>
          <w:szCs w:val="32"/>
          <w:highlight w:val="none"/>
        </w:rPr>
      </w:pPr>
      <w:r>
        <w:rPr>
          <w:rFonts w:hint="eastAsia" w:ascii="方正楷体_GBK" w:hAnsi="方正楷体_GBK" w:eastAsia="方正楷体_GBK" w:cs="方正楷体_GBK"/>
          <w:b/>
          <w:color w:val="auto"/>
          <w:sz w:val="32"/>
          <w:szCs w:val="32"/>
          <w:highlight w:val="none"/>
        </w:rPr>
        <w:t>（四）预算绩效管理情况</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根据预算绩效管理要求，本部门在2020年度预算编制阶段，对</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个项目开展了绩效目标完成情况自评。</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本部门按要求对20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年部门整体支出开展绩效自评，从评价情况来看</w:t>
      </w:r>
      <w:r>
        <w:rPr>
          <w:rFonts w:hint="eastAsia" w:ascii="仿宋_GB2312" w:hAnsi="仿宋_GB2312" w:eastAsia="仿宋_GB2312" w:cs="仿宋_GB2312"/>
          <w:color w:val="auto"/>
          <w:sz w:val="32"/>
          <w:szCs w:val="32"/>
          <w:highlight w:val="none"/>
          <w:lang w:eastAsia="zh-CN"/>
        </w:rPr>
        <w:t>，通过加强预算收支管理，不断建立健全内部管理制度，省供销社的部门整体支出管理水平得到提升，较好的完成了年度的各项工作目标。</w:t>
      </w:r>
      <w:r>
        <w:rPr>
          <w:rFonts w:hint="eastAsia" w:ascii="仿宋_GB2312" w:hAnsi="仿宋_GB2312" w:eastAsia="仿宋_GB2312" w:cs="仿宋_GB2312"/>
          <w:color w:val="auto"/>
          <w:sz w:val="32"/>
          <w:szCs w:val="32"/>
          <w:highlight w:val="none"/>
        </w:rPr>
        <w:t>本部门还自行组织了</w:t>
      </w:r>
      <w:r>
        <w:rPr>
          <w:rFonts w:hint="eastAsia" w:ascii="仿宋_GB2312" w:hAnsi="仿宋_GB2312" w:eastAsia="仿宋_GB2312" w:cs="仿宋_GB2312"/>
          <w:color w:val="auto"/>
          <w:sz w:val="32"/>
          <w:szCs w:val="32"/>
          <w:highlight w:val="none"/>
          <w:lang w:val="en-US" w:eastAsia="zh-CN"/>
        </w:rPr>
        <w:t>1个专项支出绩效评价和3</w:t>
      </w:r>
      <w:r>
        <w:rPr>
          <w:rFonts w:hint="eastAsia" w:ascii="仿宋_GB2312" w:hAnsi="仿宋_GB2312" w:eastAsia="仿宋_GB2312" w:cs="仿宋_GB2312"/>
          <w:color w:val="auto"/>
          <w:sz w:val="32"/>
          <w:szCs w:val="32"/>
          <w:highlight w:val="none"/>
        </w:rPr>
        <w:t>个项目支出绩效评价，从评价情况来看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一是省级供销综合改革及发展专项的实施，</w:t>
      </w:r>
      <w:r>
        <w:rPr>
          <w:rFonts w:hint="eastAsia" w:ascii="仿宋_GB2312" w:hAnsi="仿宋_GB2312" w:eastAsia="仿宋_GB2312" w:cs="仿宋_GB2312"/>
          <w:color w:val="auto"/>
          <w:sz w:val="32"/>
          <w:szCs w:val="32"/>
          <w:highlight w:val="none"/>
          <w:lang w:eastAsia="zh-CN"/>
        </w:rPr>
        <w:t>促进了基层供销社改革发展，夯实了供销合作社发展基础，密切了供销合作社与农民的利益联结；提升了供销社经营服务能力，拓展了供销社为农服务功能，对供销合作社系统深化综合改革，践行根本宗旨，助力乡村振兴，具有十分重要的促进作用；</w:t>
      </w:r>
      <w:r>
        <w:rPr>
          <w:rFonts w:hint="eastAsia" w:ascii="仿宋_GB2312" w:hAnsi="仿宋_GB2312" w:eastAsia="仿宋_GB2312" w:cs="仿宋_GB2312"/>
          <w:color w:val="auto"/>
          <w:sz w:val="32"/>
          <w:szCs w:val="32"/>
          <w:highlight w:val="none"/>
          <w:lang w:val="en-US" w:eastAsia="zh-CN"/>
        </w:rPr>
        <w:t>二是通过省级化肥、棉花储备工作的开展，相关承储企业成为政府市场调控和应急供应的重要载体，通过商业储备方式，降低了政府调控成本和市场风险，对平抑价格、稳定市场以及满足救灾扶贫等应急需要起到了一定的作用；三是</w:t>
      </w:r>
      <w:r>
        <w:rPr>
          <w:rFonts w:hint="eastAsia" w:ascii="仿宋_GB2312" w:hAnsi="仿宋_GB2312" w:eastAsia="仿宋_GB2312" w:cs="仿宋_GB2312"/>
          <w:color w:val="auto"/>
          <w:sz w:val="32"/>
          <w:szCs w:val="32"/>
          <w:highlight w:val="none"/>
        </w:rPr>
        <w:t>四川省商贸学校农村电子商务“产学研”基地项目</w:t>
      </w:r>
      <w:r>
        <w:rPr>
          <w:rFonts w:hint="eastAsia" w:ascii="仿宋_GB2312" w:hAnsi="仿宋_GB2312" w:eastAsia="仿宋_GB2312" w:cs="仿宋_GB2312"/>
          <w:color w:val="auto"/>
          <w:sz w:val="32"/>
          <w:szCs w:val="32"/>
          <w:highlight w:val="none"/>
          <w:lang w:val="en-US" w:eastAsia="zh-CN"/>
        </w:rPr>
        <w:t>的实施，增强了学校的实训能力，搭建了学生就业和创业的预热平台，实现“订单式”培养，实现学校人才培养和企业人才需求间的“无缝对接”，对学校可持续发展创造了条件。</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lang w:val="en-US" w:eastAsia="zh-CN"/>
        </w:rPr>
        <w:t>1.</w:t>
      </w:r>
      <w:r>
        <w:rPr>
          <w:rFonts w:hint="eastAsia" w:ascii="楷体_GB2312" w:hAnsi="楷体_GB2312" w:eastAsia="楷体_GB2312" w:cs="楷体_GB2312"/>
          <w:color w:val="auto"/>
          <w:sz w:val="32"/>
          <w:szCs w:val="32"/>
          <w:highlight w:val="none"/>
        </w:rPr>
        <w:t>项目绩效目标完成情况。</w:t>
      </w:r>
      <w:r>
        <w:rPr>
          <w:rFonts w:hint="eastAsia" w:ascii="楷体_GB2312" w:hAnsi="楷体_GB2312" w:eastAsia="楷体_GB2312" w:cs="楷体_GB2312"/>
          <w:color w:val="auto"/>
          <w:sz w:val="32"/>
          <w:szCs w:val="32"/>
          <w:highlight w:val="none"/>
        </w:rPr>
        <w:br w:type="textWrapping"/>
      </w:r>
      <w:r>
        <w:rPr>
          <w:rFonts w:hint="eastAsia" w:ascii="仿宋_GB2312" w:hAnsi="仿宋_GB2312" w:eastAsia="仿宋_GB2312" w:cs="仿宋_GB2312"/>
          <w:color w:val="auto"/>
          <w:sz w:val="32"/>
          <w:szCs w:val="32"/>
          <w:highlight w:val="none"/>
        </w:rPr>
        <w:t xml:space="preserve">    本部门在20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年度部门决算中反映“省级棉花储备贴息</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省级棉花储备贴息</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“四川省商贸学校农村电子商务‘产学研’基地项目”等</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个项目绩效目标实际完成情况。</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（1）省级棉花储备贴息项目绩效目标完成情况综述。项目全年预算数</w:t>
      </w:r>
      <w:r>
        <w:rPr>
          <w:rFonts w:hint="eastAsia" w:ascii="仿宋_GB2312" w:hAnsi="仿宋_GB2312" w:eastAsia="仿宋_GB2312" w:cs="仿宋_GB2312"/>
          <w:color w:val="auto"/>
          <w:sz w:val="32"/>
          <w:szCs w:val="32"/>
          <w:highlight w:val="none"/>
          <w:lang w:val="en-US" w:eastAsia="zh-CN"/>
        </w:rPr>
        <w:t>150</w:t>
      </w:r>
      <w:r>
        <w:rPr>
          <w:rFonts w:hint="eastAsia" w:ascii="仿宋_GB2312" w:hAnsi="仿宋_GB2312" w:eastAsia="仿宋_GB2312" w:cs="仿宋_GB2312"/>
          <w:color w:val="auto"/>
          <w:sz w:val="32"/>
          <w:szCs w:val="32"/>
          <w:highlight w:val="none"/>
        </w:rPr>
        <w:t>万元，执行数为</w:t>
      </w:r>
      <w:r>
        <w:rPr>
          <w:rFonts w:hint="eastAsia" w:ascii="仿宋_GB2312" w:hAnsi="仿宋_GB2312" w:eastAsia="仿宋_GB2312" w:cs="仿宋_GB2312"/>
          <w:color w:val="auto"/>
          <w:sz w:val="32"/>
          <w:szCs w:val="32"/>
          <w:highlight w:val="none"/>
          <w:lang w:val="en-US" w:eastAsia="zh-CN"/>
        </w:rPr>
        <w:t>150</w:t>
      </w:r>
      <w:r>
        <w:rPr>
          <w:rFonts w:hint="eastAsia" w:ascii="仿宋_GB2312" w:hAnsi="仿宋_GB2312" w:eastAsia="仿宋_GB2312" w:cs="仿宋_GB2312"/>
          <w:color w:val="auto"/>
          <w:sz w:val="32"/>
          <w:szCs w:val="32"/>
          <w:highlight w:val="none"/>
        </w:rPr>
        <w:t>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%。通过项目实施，</w:t>
      </w:r>
      <w:r>
        <w:rPr>
          <w:rFonts w:hint="eastAsia" w:ascii="仿宋_GB2312" w:hAnsi="仿宋_GB2312" w:eastAsia="仿宋_GB2312" w:cs="仿宋_GB2312"/>
          <w:color w:val="auto"/>
          <w:sz w:val="32"/>
          <w:szCs w:val="32"/>
          <w:highlight w:val="none"/>
          <w:lang w:val="en-US" w:eastAsia="zh-CN"/>
        </w:rPr>
        <w:t>在一定程度上平抑了省内棉价，避免了价格巨幅波动冲击纺织行业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为保持省内纺织工业持续稳定发展发挥了一定作用，一定程度上杜绝了黑心棉的流入。</w:t>
      </w:r>
      <w:r>
        <w:rPr>
          <w:rFonts w:hint="eastAsia" w:ascii="仿宋_GB2312" w:hAnsi="仿宋_GB2312" w:eastAsia="仿宋_GB2312" w:cs="仿宋_GB2312"/>
          <w:color w:val="auto"/>
          <w:sz w:val="32"/>
          <w:szCs w:val="32"/>
          <w:highlight w:val="none"/>
        </w:rPr>
        <w:t>发现的主要问题：</w:t>
      </w:r>
      <w:r>
        <w:rPr>
          <w:rFonts w:hint="eastAsia" w:ascii="仿宋_GB2312" w:hAnsi="仿宋_GB2312" w:eastAsia="仿宋_GB2312" w:cs="仿宋_GB2312"/>
          <w:color w:val="auto"/>
          <w:sz w:val="32"/>
          <w:szCs w:val="32"/>
          <w:highlight w:val="none"/>
          <w:lang w:val="en-US" w:eastAsia="zh-CN"/>
        </w:rPr>
        <w:t>省级储备相关政策标准长期不变，缺乏动态调整机制；储备任务量制定依据不足或不合理</w:t>
      </w:r>
      <w:r>
        <w:rPr>
          <w:rFonts w:hint="eastAsia" w:ascii="仿宋_GB2312" w:hAnsi="仿宋_GB2312" w:eastAsia="仿宋_GB2312" w:cs="仿宋_GB2312"/>
          <w:color w:val="auto"/>
          <w:sz w:val="32"/>
          <w:szCs w:val="32"/>
          <w:highlight w:val="none"/>
        </w:rPr>
        <w:t>。下一步改进措施：</w:t>
      </w:r>
      <w:r>
        <w:rPr>
          <w:rFonts w:hint="eastAsia" w:ascii="仿宋_GB2312" w:hAnsi="仿宋_GB2312" w:eastAsia="仿宋_GB2312" w:cs="仿宋_GB2312"/>
          <w:color w:val="auto"/>
          <w:sz w:val="32"/>
          <w:szCs w:val="32"/>
          <w:highlight w:val="none"/>
          <w:lang w:val="en-US" w:eastAsia="zh-CN"/>
        </w:rPr>
        <w:t>科学合理确定储备品种和储备规模，加强省级项目储备管理工作。</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（2）省级棉花储备贴息项目绩效目标完成情况综述。项目全年预算数</w:t>
      </w:r>
      <w:r>
        <w:rPr>
          <w:rFonts w:hint="eastAsia" w:ascii="仿宋_GB2312" w:hAnsi="仿宋_GB2312" w:eastAsia="仿宋_GB2312" w:cs="仿宋_GB2312"/>
          <w:color w:val="auto"/>
          <w:sz w:val="32"/>
          <w:szCs w:val="32"/>
          <w:highlight w:val="none"/>
          <w:lang w:val="en-US" w:eastAsia="zh-CN"/>
        </w:rPr>
        <w:t>760</w:t>
      </w:r>
      <w:r>
        <w:rPr>
          <w:rFonts w:hint="eastAsia" w:ascii="仿宋_GB2312" w:hAnsi="仿宋_GB2312" w:eastAsia="仿宋_GB2312" w:cs="仿宋_GB2312"/>
          <w:color w:val="auto"/>
          <w:sz w:val="32"/>
          <w:szCs w:val="32"/>
          <w:highlight w:val="none"/>
        </w:rPr>
        <w:t>万元，执行数为</w:t>
      </w:r>
      <w:r>
        <w:rPr>
          <w:rFonts w:hint="eastAsia" w:ascii="仿宋_GB2312" w:hAnsi="仿宋_GB2312" w:eastAsia="仿宋_GB2312" w:cs="仿宋_GB2312"/>
          <w:color w:val="auto"/>
          <w:sz w:val="32"/>
          <w:szCs w:val="32"/>
          <w:highlight w:val="none"/>
          <w:lang w:val="en-US" w:eastAsia="zh-CN"/>
        </w:rPr>
        <w:t>760</w:t>
      </w:r>
      <w:r>
        <w:rPr>
          <w:rFonts w:hint="eastAsia" w:ascii="仿宋_GB2312" w:hAnsi="仿宋_GB2312" w:eastAsia="仿宋_GB2312" w:cs="仿宋_GB2312"/>
          <w:color w:val="auto"/>
          <w:sz w:val="32"/>
          <w:szCs w:val="32"/>
          <w:highlight w:val="none"/>
        </w:rPr>
        <w:t>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%。通过项目实施，</w:t>
      </w:r>
      <w:r>
        <w:rPr>
          <w:rFonts w:hint="eastAsia" w:ascii="仿宋_GB2312" w:hAnsi="仿宋_GB2312" w:eastAsia="仿宋_GB2312" w:cs="仿宋_GB2312"/>
          <w:color w:val="auto"/>
          <w:sz w:val="32"/>
          <w:szCs w:val="32"/>
          <w:highlight w:val="none"/>
          <w:lang w:val="en-US" w:eastAsia="zh-CN"/>
        </w:rPr>
        <w:t>承储企业在大春用肥时大量投放市场，保证农户以较低价格购买生产物资，在一定程度上保护了农民种粮积极性</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保障边远地区春耕用肥供应，为助农增收作出一定贡献。</w:t>
      </w:r>
      <w:r>
        <w:rPr>
          <w:rFonts w:hint="eastAsia" w:ascii="仿宋_GB2312" w:hAnsi="仿宋_GB2312" w:eastAsia="仿宋_GB2312" w:cs="仿宋_GB2312"/>
          <w:color w:val="auto"/>
          <w:sz w:val="32"/>
          <w:szCs w:val="32"/>
          <w:highlight w:val="none"/>
        </w:rPr>
        <w:t>发现的主要问题：省级储备相关政策标准长期不变，缺乏动态调整机制；储备任务量制定依据不足或不合理。下一步改进措施：科学合理确定储备品种和储备规模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加强省级项目储备管理工作</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（3）四川省商贸学校农村电子商务“产学研”基地项目绩效目标完成情况综述。项目全年预算数</w:t>
      </w:r>
      <w:r>
        <w:rPr>
          <w:rFonts w:hint="eastAsia" w:ascii="仿宋_GB2312" w:hAnsi="仿宋_GB2312" w:eastAsia="仿宋_GB2312" w:cs="仿宋_GB2312"/>
          <w:color w:val="auto"/>
          <w:sz w:val="32"/>
          <w:szCs w:val="32"/>
          <w:highlight w:val="none"/>
          <w:lang w:val="en-US" w:eastAsia="zh-CN"/>
        </w:rPr>
        <w:t>1378.84</w:t>
      </w:r>
      <w:r>
        <w:rPr>
          <w:rFonts w:hint="eastAsia" w:ascii="仿宋_GB2312" w:hAnsi="仿宋_GB2312" w:eastAsia="仿宋_GB2312" w:cs="仿宋_GB2312"/>
          <w:color w:val="auto"/>
          <w:sz w:val="32"/>
          <w:szCs w:val="32"/>
          <w:highlight w:val="none"/>
        </w:rPr>
        <w:t>万元，执行数为</w:t>
      </w:r>
      <w:r>
        <w:rPr>
          <w:rFonts w:hint="eastAsia" w:ascii="仿宋_GB2312" w:hAnsi="仿宋_GB2312" w:eastAsia="仿宋_GB2312" w:cs="仿宋_GB2312"/>
          <w:color w:val="auto"/>
          <w:sz w:val="32"/>
          <w:szCs w:val="32"/>
          <w:highlight w:val="none"/>
          <w:lang w:val="en-US" w:eastAsia="zh-CN"/>
        </w:rPr>
        <w:t>1378.84</w:t>
      </w:r>
      <w:r>
        <w:rPr>
          <w:rFonts w:hint="eastAsia" w:ascii="仿宋_GB2312" w:hAnsi="仿宋_GB2312" w:eastAsia="仿宋_GB2312" w:cs="仿宋_GB2312"/>
          <w:color w:val="auto"/>
          <w:sz w:val="32"/>
          <w:szCs w:val="32"/>
          <w:highlight w:val="none"/>
        </w:rPr>
        <w:t>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通过项目实施，预计可实现服务全校2500余名师生、农村电子商务产教融合服务社会覆盖面60%的社会效益，满足学校可持续发展要求。发现的主要问题：根据可行性研究报告批复和招标时的造价清单，该项目需要自筹地方配套资金650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由于规划批复、施工许可等因素造成的工期延误，加之市政规划调整后变更屋顶设计，人工、建材连连上涨等不利因素增加的建设成本，</w:t>
      </w:r>
      <w:r>
        <w:rPr>
          <w:rFonts w:hint="eastAsia" w:ascii="仿宋_GB2312" w:hAnsi="仿宋_GB2312" w:eastAsia="仿宋_GB2312" w:cs="仿宋_GB2312"/>
          <w:color w:val="auto"/>
          <w:sz w:val="32"/>
          <w:szCs w:val="32"/>
          <w:highlight w:val="none"/>
          <w:lang w:val="en-US" w:eastAsia="zh-CN"/>
        </w:rPr>
        <w:t>目前自筹资金部分存在较大缺口</w:t>
      </w:r>
      <w:r>
        <w:rPr>
          <w:rFonts w:hint="eastAsia" w:ascii="仿宋_GB2312" w:hAnsi="仿宋_GB2312" w:eastAsia="仿宋_GB2312" w:cs="仿宋_GB2312"/>
          <w:color w:val="auto"/>
          <w:sz w:val="32"/>
          <w:szCs w:val="32"/>
          <w:highlight w:val="none"/>
        </w:rPr>
        <w:t>。下一步改进措施：</w:t>
      </w:r>
      <w:r>
        <w:rPr>
          <w:rFonts w:hint="eastAsia" w:ascii="仿宋_GB2312" w:hAnsi="仿宋_GB2312" w:eastAsia="仿宋_GB2312" w:cs="仿宋_GB2312"/>
          <w:color w:val="auto"/>
          <w:sz w:val="32"/>
          <w:szCs w:val="32"/>
          <w:highlight w:val="none"/>
          <w:lang w:val="en-US" w:eastAsia="zh-CN"/>
        </w:rPr>
        <w:t>学校将从</w:t>
      </w:r>
      <w:r>
        <w:rPr>
          <w:rFonts w:hint="eastAsia" w:ascii="仿宋_GB2312" w:hAnsi="仿宋_GB2312" w:eastAsia="仿宋_GB2312" w:cs="仿宋_GB2312"/>
          <w:color w:val="auto"/>
          <w:sz w:val="32"/>
          <w:szCs w:val="32"/>
          <w:highlight w:val="none"/>
        </w:rPr>
        <w:t>严格控制投资总额</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开源节流高质建设</w:t>
      </w:r>
      <w:r>
        <w:rPr>
          <w:rFonts w:hint="eastAsia" w:ascii="仿宋_GB2312" w:hAnsi="仿宋_GB2312" w:eastAsia="仿宋_GB2312" w:cs="仿宋_GB2312"/>
          <w:color w:val="auto"/>
          <w:sz w:val="32"/>
          <w:szCs w:val="32"/>
          <w:highlight w:val="none"/>
          <w:lang w:eastAsia="zh-CN"/>
        </w:rPr>
        <w:t>，加大力度提高绩效</w:t>
      </w:r>
      <w:r>
        <w:rPr>
          <w:rFonts w:hint="eastAsia" w:ascii="仿宋_GB2312" w:hAnsi="仿宋_GB2312" w:eastAsia="仿宋_GB2312" w:cs="仿宋_GB2312"/>
          <w:color w:val="auto"/>
          <w:sz w:val="32"/>
          <w:szCs w:val="32"/>
          <w:highlight w:val="none"/>
          <w:lang w:val="en-US" w:eastAsia="zh-CN"/>
        </w:rPr>
        <w:t>等方面加强相关工作。</w:t>
      </w:r>
      <w:r>
        <w:rPr>
          <w:rFonts w:hint="eastAsia" w:ascii="仿宋_GB2312" w:hAnsi="仿宋_GB2312" w:eastAsia="仿宋_GB2312" w:cs="仿宋_GB2312"/>
          <w:color w:val="auto"/>
          <w:sz w:val="32"/>
          <w:szCs w:val="32"/>
          <w:highlight w:val="none"/>
        </w:rPr>
        <w:t>最大限度压缩零星工程维修改造经费，为重点项目建设提供资金保障</w:t>
      </w:r>
      <w:r>
        <w:rPr>
          <w:rFonts w:hint="eastAsia" w:ascii="仿宋_GB2312" w:hAnsi="仿宋_GB2312" w:eastAsia="仿宋_GB2312" w:cs="仿宋_GB2312"/>
          <w:color w:val="auto"/>
          <w:sz w:val="32"/>
          <w:szCs w:val="32"/>
          <w:highlight w:val="none"/>
          <w:lang w:eastAsia="zh-CN"/>
        </w:rPr>
        <w:t>；完善预算执行和绩效评估责任制度，将责任落实到岗，任务落实到人</w:t>
      </w:r>
      <w:r>
        <w:rPr>
          <w:rFonts w:hint="eastAsia" w:ascii="仿宋_GB2312" w:hAnsi="仿宋_GB2312" w:eastAsia="仿宋_GB2312" w:cs="仿宋_GB2312"/>
          <w:color w:val="auto"/>
          <w:sz w:val="32"/>
          <w:szCs w:val="32"/>
          <w:highlight w:val="none"/>
        </w:rPr>
        <w:t>。</w:t>
      </w:r>
    </w:p>
    <w:tbl>
      <w:tblPr>
        <w:tblStyle w:val="13"/>
        <w:tblpPr w:leftFromText="180" w:rightFromText="180" w:vertAnchor="text" w:horzAnchor="page" w:tblpXSpec="center" w:tblpY="423"/>
        <w:tblOverlap w:val="never"/>
        <w:tblW w:w="9274" w:type="dxa"/>
        <w:jc w:val="center"/>
        <w:tblLayout w:type="fixed"/>
        <w:tblCellMar>
          <w:top w:w="0" w:type="dxa"/>
          <w:left w:w="0" w:type="dxa"/>
          <w:bottom w:w="0" w:type="dxa"/>
          <w:right w:w="0" w:type="dxa"/>
        </w:tblCellMar>
      </w:tblPr>
      <w:tblGrid>
        <w:gridCol w:w="720"/>
        <w:gridCol w:w="851"/>
        <w:gridCol w:w="179"/>
        <w:gridCol w:w="1034"/>
        <w:gridCol w:w="274"/>
        <w:gridCol w:w="1982"/>
        <w:gridCol w:w="251"/>
        <w:gridCol w:w="1537"/>
        <w:gridCol w:w="202"/>
        <w:gridCol w:w="2244"/>
      </w:tblGrid>
      <w:tr>
        <w:tblPrEx>
          <w:tblCellMar>
            <w:top w:w="0" w:type="dxa"/>
            <w:left w:w="0" w:type="dxa"/>
            <w:bottom w:w="0" w:type="dxa"/>
            <w:right w:w="0" w:type="dxa"/>
          </w:tblCellMar>
        </w:tblPrEx>
        <w:trPr>
          <w:trHeight w:val="1034" w:hRule="atLeast"/>
          <w:jc w:val="center"/>
        </w:trPr>
        <w:tc>
          <w:tcPr>
            <w:tcW w:w="9274" w:type="dxa"/>
            <w:gridSpan w:val="10"/>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auto"/>
                <w:sz w:val="36"/>
                <w:szCs w:val="36"/>
                <w:highlight w:val="none"/>
              </w:rPr>
            </w:pPr>
            <w:r>
              <w:rPr>
                <w:rFonts w:hint="eastAsia" w:ascii="仿宋_GB2312" w:hAnsi="仿宋_GB2312" w:eastAsia="仿宋_GB2312" w:cs="仿宋_GB2312"/>
                <w:b w:val="0"/>
                <w:bCs w:val="0"/>
                <w:color w:val="auto"/>
                <w:kern w:val="0"/>
                <w:sz w:val="36"/>
                <w:szCs w:val="36"/>
                <w:highlight w:val="none"/>
                <w:lang w:bidi="ar"/>
              </w:rPr>
              <w:t>项目绩效目标完成情况表</w:t>
            </w:r>
            <w:r>
              <w:rPr>
                <w:rFonts w:hint="eastAsia" w:ascii="仿宋_GB2312" w:hAnsi="仿宋_GB2312" w:eastAsia="仿宋_GB2312" w:cs="仿宋_GB2312"/>
                <w:b w:val="0"/>
                <w:bCs w:val="0"/>
                <w:color w:val="auto"/>
                <w:kern w:val="0"/>
                <w:sz w:val="36"/>
                <w:szCs w:val="36"/>
                <w:highlight w:val="none"/>
                <w:lang w:bidi="ar"/>
              </w:rPr>
              <w:br w:type="textWrapping"/>
            </w:r>
            <w:r>
              <w:rPr>
                <w:rFonts w:hint="eastAsia" w:ascii="仿宋_GB2312" w:hAnsi="仿宋_GB2312" w:eastAsia="仿宋_GB2312" w:cs="仿宋_GB2312"/>
                <w:b w:val="0"/>
                <w:bCs w:val="0"/>
                <w:color w:val="auto"/>
                <w:kern w:val="0"/>
                <w:sz w:val="36"/>
                <w:szCs w:val="36"/>
                <w:highlight w:val="none"/>
                <w:lang w:bidi="ar"/>
              </w:rPr>
              <w:t>(20</w:t>
            </w:r>
            <w:r>
              <w:rPr>
                <w:rFonts w:hint="eastAsia" w:ascii="仿宋_GB2312" w:hAnsi="仿宋_GB2312" w:eastAsia="仿宋_GB2312" w:cs="仿宋_GB2312"/>
                <w:b w:val="0"/>
                <w:bCs w:val="0"/>
                <w:color w:val="auto"/>
                <w:kern w:val="0"/>
                <w:sz w:val="36"/>
                <w:szCs w:val="36"/>
                <w:highlight w:val="none"/>
                <w:lang w:val="en-US" w:eastAsia="zh-CN" w:bidi="ar"/>
              </w:rPr>
              <w:t>20</w:t>
            </w:r>
            <w:r>
              <w:rPr>
                <w:rFonts w:hint="eastAsia" w:ascii="仿宋_GB2312" w:hAnsi="仿宋_GB2312" w:eastAsia="仿宋_GB2312" w:cs="仿宋_GB2312"/>
                <w:b w:val="0"/>
                <w:bCs w:val="0"/>
                <w:color w:val="auto"/>
                <w:kern w:val="0"/>
                <w:sz w:val="36"/>
                <w:szCs w:val="36"/>
                <w:highlight w:val="none"/>
                <w:lang w:bidi="ar"/>
              </w:rPr>
              <w:t>年度)</w:t>
            </w:r>
          </w:p>
        </w:tc>
      </w:tr>
      <w:tr>
        <w:tblPrEx>
          <w:tblCellMar>
            <w:top w:w="0" w:type="dxa"/>
            <w:left w:w="0" w:type="dxa"/>
            <w:bottom w:w="0" w:type="dxa"/>
            <w:right w:w="0" w:type="dxa"/>
          </w:tblCellMar>
        </w:tblPrEx>
        <w:trPr>
          <w:trHeight w:val="276" w:hRule="atLeast"/>
          <w:jc w:val="center"/>
        </w:trPr>
        <w:tc>
          <w:tcPr>
            <w:tcW w:w="305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项目名称</w:t>
            </w:r>
          </w:p>
        </w:tc>
        <w:tc>
          <w:tcPr>
            <w:tcW w:w="621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省级</w:t>
            </w:r>
            <w:r>
              <w:rPr>
                <w:rFonts w:hint="eastAsia" w:ascii="仿宋_GB2312" w:hAnsi="仿宋_GB2312" w:eastAsia="仿宋_GB2312" w:cs="仿宋_GB2312"/>
                <w:color w:val="auto"/>
                <w:sz w:val="24"/>
                <w:highlight w:val="none"/>
              </w:rPr>
              <w:t>棉花储备贴息</w:t>
            </w:r>
          </w:p>
        </w:tc>
      </w:tr>
      <w:tr>
        <w:tblPrEx>
          <w:tblCellMar>
            <w:top w:w="0" w:type="dxa"/>
            <w:left w:w="0" w:type="dxa"/>
            <w:bottom w:w="0" w:type="dxa"/>
            <w:right w:w="0" w:type="dxa"/>
          </w:tblCellMar>
        </w:tblPrEx>
        <w:trPr>
          <w:trHeight w:val="276" w:hRule="atLeast"/>
          <w:jc w:val="center"/>
        </w:trPr>
        <w:tc>
          <w:tcPr>
            <w:tcW w:w="305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预算单位</w:t>
            </w:r>
          </w:p>
        </w:tc>
        <w:tc>
          <w:tcPr>
            <w:tcW w:w="621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四川省供销社机关</w:t>
            </w:r>
          </w:p>
        </w:tc>
      </w:tr>
      <w:tr>
        <w:tblPrEx>
          <w:tblCellMar>
            <w:top w:w="0" w:type="dxa"/>
            <w:left w:w="0" w:type="dxa"/>
            <w:bottom w:w="0" w:type="dxa"/>
            <w:right w:w="0" w:type="dxa"/>
          </w:tblCellMar>
        </w:tblPrEx>
        <w:trPr>
          <w:trHeight w:val="389"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预算执行情况(万元)</w:t>
            </w:r>
          </w:p>
        </w:tc>
        <w:tc>
          <w:tcPr>
            <w:tcW w:w="233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预算数:</w:t>
            </w:r>
          </w:p>
        </w:tc>
        <w:tc>
          <w:tcPr>
            <w:tcW w:w="22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150</w:t>
            </w:r>
          </w:p>
        </w:tc>
        <w:tc>
          <w:tcPr>
            <w:tcW w:w="17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执行数:</w:t>
            </w:r>
          </w:p>
        </w:tc>
        <w:tc>
          <w:tcPr>
            <w:tcW w:w="2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150</w:t>
            </w:r>
          </w:p>
        </w:tc>
      </w:tr>
      <w:tr>
        <w:tblPrEx>
          <w:tblCellMar>
            <w:top w:w="0" w:type="dxa"/>
            <w:left w:w="0" w:type="dxa"/>
            <w:bottom w:w="0" w:type="dxa"/>
            <w:right w:w="0" w:type="dxa"/>
          </w:tblCellMar>
        </w:tblPrEx>
        <w:trPr>
          <w:trHeight w:val="389"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auto"/>
                <w:sz w:val="24"/>
                <w:highlight w:val="none"/>
              </w:rPr>
            </w:pPr>
          </w:p>
        </w:tc>
        <w:tc>
          <w:tcPr>
            <w:tcW w:w="233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其中-财政拨款:</w:t>
            </w:r>
          </w:p>
        </w:tc>
        <w:tc>
          <w:tcPr>
            <w:tcW w:w="22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150</w:t>
            </w:r>
          </w:p>
        </w:tc>
        <w:tc>
          <w:tcPr>
            <w:tcW w:w="17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其中-财政拨款:</w:t>
            </w:r>
          </w:p>
        </w:tc>
        <w:tc>
          <w:tcPr>
            <w:tcW w:w="2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150</w:t>
            </w:r>
          </w:p>
        </w:tc>
      </w:tr>
      <w:tr>
        <w:tblPrEx>
          <w:tblCellMar>
            <w:top w:w="0" w:type="dxa"/>
            <w:left w:w="0" w:type="dxa"/>
            <w:bottom w:w="0" w:type="dxa"/>
            <w:right w:w="0" w:type="dxa"/>
          </w:tblCellMar>
        </w:tblPrEx>
        <w:trPr>
          <w:trHeight w:val="422"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auto"/>
                <w:sz w:val="24"/>
                <w:highlight w:val="none"/>
              </w:rPr>
            </w:pPr>
          </w:p>
        </w:tc>
        <w:tc>
          <w:tcPr>
            <w:tcW w:w="233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其它资金:</w:t>
            </w:r>
          </w:p>
        </w:tc>
        <w:tc>
          <w:tcPr>
            <w:tcW w:w="22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0</w:t>
            </w:r>
          </w:p>
        </w:tc>
        <w:tc>
          <w:tcPr>
            <w:tcW w:w="17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其它资金:</w:t>
            </w:r>
          </w:p>
        </w:tc>
        <w:tc>
          <w:tcPr>
            <w:tcW w:w="2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0</w:t>
            </w:r>
          </w:p>
        </w:tc>
      </w:tr>
      <w:tr>
        <w:tblPrEx>
          <w:tblCellMar>
            <w:top w:w="0" w:type="dxa"/>
            <w:left w:w="0" w:type="dxa"/>
            <w:bottom w:w="0" w:type="dxa"/>
            <w:right w:w="0" w:type="dxa"/>
          </w:tblCellMar>
        </w:tblPrEx>
        <w:trPr>
          <w:trHeight w:val="276"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年度目标完成情况</w:t>
            </w:r>
          </w:p>
        </w:tc>
        <w:tc>
          <w:tcPr>
            <w:tcW w:w="457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预期目标</w:t>
            </w:r>
          </w:p>
        </w:tc>
        <w:tc>
          <w:tcPr>
            <w:tcW w:w="398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实际完成目标</w:t>
            </w:r>
          </w:p>
        </w:tc>
      </w:tr>
      <w:tr>
        <w:tblPrEx>
          <w:tblCellMar>
            <w:top w:w="0" w:type="dxa"/>
            <w:left w:w="0" w:type="dxa"/>
            <w:bottom w:w="0" w:type="dxa"/>
            <w:right w:w="0" w:type="dxa"/>
          </w:tblCellMar>
        </w:tblPrEx>
        <w:trPr>
          <w:trHeight w:val="1159"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auto"/>
                <w:sz w:val="24"/>
                <w:highlight w:val="none"/>
              </w:rPr>
            </w:pPr>
          </w:p>
        </w:tc>
        <w:tc>
          <w:tcPr>
            <w:tcW w:w="457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实行棉花经营性滚动储备，搭建集市场监测、信息收集、市场调控、应急供应等功能于一体储备平台</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一方面用于缓解我省棉花种植面积下降、产量持续缩减、主要依靠外购的棉花产业现状，保障纺织工业发展；另一方面，用于应对因洪涝、地震等自然灾害及扶贫导致的应急用棉需求，保障社会稳定。</w:t>
            </w:r>
          </w:p>
        </w:tc>
        <w:tc>
          <w:tcPr>
            <w:tcW w:w="398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2020年7月1日—2021年6月30日棉花年经营量96040吨，平均库存为6583吨，占用资金利息409.57万元，保质保量地完成相应的储备任务，并按时按需地实施了轮出、轮入。</w:t>
            </w:r>
          </w:p>
        </w:tc>
      </w:tr>
      <w:tr>
        <w:tblPrEx>
          <w:tblCellMar>
            <w:top w:w="0" w:type="dxa"/>
            <w:left w:w="0" w:type="dxa"/>
            <w:bottom w:w="0" w:type="dxa"/>
            <w:right w:w="0" w:type="dxa"/>
          </w:tblCellMar>
        </w:tblPrEx>
        <w:trPr>
          <w:trHeight w:val="853" w:hRule="atLeast"/>
          <w:jc w:val="center"/>
        </w:trPr>
        <w:tc>
          <w:tcPr>
            <w:tcW w:w="72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绩效指标完成情况</w:t>
            </w:r>
          </w:p>
        </w:tc>
        <w:tc>
          <w:tcPr>
            <w:tcW w:w="10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一级指标</w:t>
            </w:r>
          </w:p>
        </w:tc>
        <w:tc>
          <w:tcPr>
            <w:tcW w:w="13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二级指标</w:t>
            </w:r>
          </w:p>
        </w:tc>
        <w:tc>
          <w:tcPr>
            <w:tcW w:w="22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三级指标</w:t>
            </w:r>
          </w:p>
        </w:tc>
        <w:tc>
          <w:tcPr>
            <w:tcW w:w="17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预期指标值(包含数字及文字描述)</w:t>
            </w:r>
          </w:p>
        </w:tc>
        <w:tc>
          <w:tcPr>
            <w:tcW w:w="2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实际完成指标值(包含数字及文字描述)</w:t>
            </w:r>
          </w:p>
        </w:tc>
      </w:tr>
      <w:tr>
        <w:tblPrEx>
          <w:tblCellMar>
            <w:top w:w="0" w:type="dxa"/>
            <w:left w:w="0" w:type="dxa"/>
            <w:bottom w:w="0" w:type="dxa"/>
            <w:right w:w="0" w:type="dxa"/>
          </w:tblCellMar>
        </w:tblPrEx>
        <w:trPr>
          <w:trHeight w:val="690" w:hRule="atLeast"/>
          <w:jc w:val="center"/>
        </w:trPr>
        <w:tc>
          <w:tcPr>
            <w:tcW w:w="72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p>
        </w:tc>
        <w:tc>
          <w:tcPr>
            <w:tcW w:w="10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项目完成指标</w:t>
            </w:r>
          </w:p>
        </w:tc>
        <w:tc>
          <w:tcPr>
            <w:tcW w:w="13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数量指标</w:t>
            </w:r>
          </w:p>
        </w:tc>
        <w:tc>
          <w:tcPr>
            <w:tcW w:w="22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完成棉花储备数量</w:t>
            </w:r>
          </w:p>
        </w:tc>
        <w:tc>
          <w:tcPr>
            <w:tcW w:w="17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3万吨</w:t>
            </w:r>
          </w:p>
        </w:tc>
        <w:tc>
          <w:tcPr>
            <w:tcW w:w="2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年经营滚动储备棉花3万吨</w:t>
            </w:r>
          </w:p>
        </w:tc>
      </w:tr>
      <w:tr>
        <w:tblPrEx>
          <w:tblCellMar>
            <w:top w:w="0" w:type="dxa"/>
            <w:left w:w="0" w:type="dxa"/>
            <w:bottom w:w="0" w:type="dxa"/>
            <w:right w:w="0" w:type="dxa"/>
          </w:tblCellMar>
        </w:tblPrEx>
        <w:trPr>
          <w:trHeight w:val="830" w:hRule="atLeast"/>
          <w:jc w:val="center"/>
        </w:trPr>
        <w:tc>
          <w:tcPr>
            <w:tcW w:w="72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p>
        </w:tc>
        <w:tc>
          <w:tcPr>
            <w:tcW w:w="10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项目完成指标</w:t>
            </w:r>
          </w:p>
        </w:tc>
        <w:tc>
          <w:tcPr>
            <w:tcW w:w="13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数量指标</w:t>
            </w:r>
          </w:p>
        </w:tc>
        <w:tc>
          <w:tcPr>
            <w:tcW w:w="22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完成省内棉花市场信息采集次数</w:t>
            </w:r>
          </w:p>
        </w:tc>
        <w:tc>
          <w:tcPr>
            <w:tcW w:w="17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12次</w:t>
            </w:r>
          </w:p>
        </w:tc>
        <w:tc>
          <w:tcPr>
            <w:tcW w:w="2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搭建集市场监测、信息收集、市场调控、应急供应等功能于一体储备平台，完成省内棉花市场信息采集次数12次</w:t>
            </w:r>
          </w:p>
        </w:tc>
      </w:tr>
      <w:tr>
        <w:tblPrEx>
          <w:tblCellMar>
            <w:top w:w="0" w:type="dxa"/>
            <w:left w:w="0" w:type="dxa"/>
            <w:bottom w:w="0" w:type="dxa"/>
            <w:right w:w="0" w:type="dxa"/>
          </w:tblCellMar>
        </w:tblPrEx>
        <w:trPr>
          <w:trHeight w:val="575" w:hRule="atLeast"/>
          <w:jc w:val="center"/>
        </w:trPr>
        <w:tc>
          <w:tcPr>
            <w:tcW w:w="72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p>
        </w:tc>
        <w:tc>
          <w:tcPr>
            <w:tcW w:w="10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项目完成指标</w:t>
            </w:r>
          </w:p>
        </w:tc>
        <w:tc>
          <w:tcPr>
            <w:tcW w:w="13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时效指标</w:t>
            </w:r>
          </w:p>
        </w:tc>
        <w:tc>
          <w:tcPr>
            <w:tcW w:w="22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完成上报时限</w:t>
            </w:r>
          </w:p>
        </w:tc>
        <w:tc>
          <w:tcPr>
            <w:tcW w:w="17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2020年12月31日</w:t>
            </w:r>
          </w:p>
        </w:tc>
        <w:tc>
          <w:tcPr>
            <w:tcW w:w="2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2020年6月30日</w:t>
            </w:r>
          </w:p>
        </w:tc>
      </w:tr>
      <w:tr>
        <w:tblPrEx>
          <w:tblCellMar>
            <w:top w:w="0" w:type="dxa"/>
            <w:left w:w="0" w:type="dxa"/>
            <w:bottom w:w="0" w:type="dxa"/>
            <w:right w:w="0" w:type="dxa"/>
          </w:tblCellMar>
        </w:tblPrEx>
        <w:trPr>
          <w:trHeight w:val="719" w:hRule="atLeast"/>
          <w:jc w:val="center"/>
        </w:trPr>
        <w:tc>
          <w:tcPr>
            <w:tcW w:w="72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p>
        </w:tc>
        <w:tc>
          <w:tcPr>
            <w:tcW w:w="10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项目完成指标</w:t>
            </w:r>
          </w:p>
        </w:tc>
        <w:tc>
          <w:tcPr>
            <w:tcW w:w="13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成本指标</w:t>
            </w:r>
          </w:p>
        </w:tc>
        <w:tc>
          <w:tcPr>
            <w:tcW w:w="22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储备资金融资成本率</w:t>
            </w:r>
          </w:p>
        </w:tc>
        <w:tc>
          <w:tcPr>
            <w:tcW w:w="17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5.65%</w:t>
            </w:r>
          </w:p>
        </w:tc>
        <w:tc>
          <w:tcPr>
            <w:tcW w:w="2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5.65%</w:t>
            </w:r>
          </w:p>
        </w:tc>
      </w:tr>
      <w:tr>
        <w:tblPrEx>
          <w:tblCellMar>
            <w:top w:w="0" w:type="dxa"/>
            <w:left w:w="0" w:type="dxa"/>
            <w:bottom w:w="0" w:type="dxa"/>
            <w:right w:w="0" w:type="dxa"/>
          </w:tblCellMar>
        </w:tblPrEx>
        <w:trPr>
          <w:trHeight w:val="935" w:hRule="atLeast"/>
          <w:jc w:val="center"/>
        </w:trPr>
        <w:tc>
          <w:tcPr>
            <w:tcW w:w="72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p>
        </w:tc>
        <w:tc>
          <w:tcPr>
            <w:tcW w:w="10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效益指标</w:t>
            </w:r>
          </w:p>
        </w:tc>
        <w:tc>
          <w:tcPr>
            <w:tcW w:w="13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社会效益指标</w:t>
            </w:r>
          </w:p>
        </w:tc>
        <w:tc>
          <w:tcPr>
            <w:tcW w:w="22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对省内纺织工业发展的促进作用</w:t>
            </w:r>
          </w:p>
        </w:tc>
        <w:tc>
          <w:tcPr>
            <w:tcW w:w="17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基本满足需求</w:t>
            </w:r>
          </w:p>
        </w:tc>
        <w:tc>
          <w:tcPr>
            <w:tcW w:w="2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基本满足需求</w:t>
            </w:r>
          </w:p>
        </w:tc>
      </w:tr>
      <w:tr>
        <w:tblPrEx>
          <w:tblCellMar>
            <w:top w:w="0" w:type="dxa"/>
            <w:left w:w="0" w:type="dxa"/>
            <w:bottom w:w="0" w:type="dxa"/>
            <w:right w:w="0" w:type="dxa"/>
          </w:tblCellMar>
        </w:tblPrEx>
        <w:trPr>
          <w:trHeight w:val="734" w:hRule="atLeast"/>
          <w:jc w:val="center"/>
        </w:trPr>
        <w:tc>
          <w:tcPr>
            <w:tcW w:w="72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p>
        </w:tc>
        <w:tc>
          <w:tcPr>
            <w:tcW w:w="10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效益指标</w:t>
            </w:r>
          </w:p>
        </w:tc>
        <w:tc>
          <w:tcPr>
            <w:tcW w:w="13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社会效益指标</w:t>
            </w:r>
          </w:p>
        </w:tc>
        <w:tc>
          <w:tcPr>
            <w:tcW w:w="22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轮出市场覆盖面</w:t>
            </w:r>
          </w:p>
        </w:tc>
        <w:tc>
          <w:tcPr>
            <w:tcW w:w="17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100%</w:t>
            </w:r>
          </w:p>
        </w:tc>
        <w:tc>
          <w:tcPr>
            <w:tcW w:w="2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100%</w:t>
            </w:r>
          </w:p>
        </w:tc>
      </w:tr>
      <w:tr>
        <w:tblPrEx>
          <w:tblCellMar>
            <w:top w:w="0" w:type="dxa"/>
            <w:left w:w="0" w:type="dxa"/>
            <w:bottom w:w="0" w:type="dxa"/>
            <w:right w:w="0" w:type="dxa"/>
          </w:tblCellMar>
        </w:tblPrEx>
        <w:trPr>
          <w:trHeight w:val="770" w:hRule="atLeast"/>
          <w:jc w:val="center"/>
        </w:trPr>
        <w:tc>
          <w:tcPr>
            <w:tcW w:w="72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p>
        </w:tc>
        <w:tc>
          <w:tcPr>
            <w:tcW w:w="10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效益指标</w:t>
            </w:r>
          </w:p>
        </w:tc>
        <w:tc>
          <w:tcPr>
            <w:tcW w:w="13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可持续影响指标</w:t>
            </w:r>
          </w:p>
        </w:tc>
        <w:tc>
          <w:tcPr>
            <w:tcW w:w="22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棉花储备影响年限</w:t>
            </w:r>
          </w:p>
        </w:tc>
        <w:tc>
          <w:tcPr>
            <w:tcW w:w="17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≥1年</w:t>
            </w:r>
          </w:p>
        </w:tc>
        <w:tc>
          <w:tcPr>
            <w:tcW w:w="2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≥1年</w:t>
            </w:r>
          </w:p>
        </w:tc>
      </w:tr>
      <w:tr>
        <w:tblPrEx>
          <w:tblCellMar>
            <w:top w:w="0" w:type="dxa"/>
            <w:left w:w="0" w:type="dxa"/>
            <w:bottom w:w="0" w:type="dxa"/>
            <w:right w:w="0" w:type="dxa"/>
          </w:tblCellMar>
        </w:tblPrEx>
        <w:trPr>
          <w:trHeight w:val="667" w:hRule="atLeast"/>
          <w:jc w:val="center"/>
        </w:trPr>
        <w:tc>
          <w:tcPr>
            <w:tcW w:w="72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p>
        </w:tc>
        <w:tc>
          <w:tcPr>
            <w:tcW w:w="10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满意度指标</w:t>
            </w:r>
          </w:p>
        </w:tc>
        <w:tc>
          <w:tcPr>
            <w:tcW w:w="13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满意度指标</w:t>
            </w:r>
          </w:p>
        </w:tc>
        <w:tc>
          <w:tcPr>
            <w:tcW w:w="22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服务对象满意度</w:t>
            </w:r>
          </w:p>
        </w:tc>
        <w:tc>
          <w:tcPr>
            <w:tcW w:w="17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100%</w:t>
            </w:r>
          </w:p>
        </w:tc>
        <w:tc>
          <w:tcPr>
            <w:tcW w:w="2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100%</w:t>
            </w:r>
          </w:p>
        </w:tc>
      </w:tr>
      <w:tr>
        <w:tblPrEx>
          <w:tblCellMar>
            <w:top w:w="0" w:type="dxa"/>
            <w:left w:w="0" w:type="dxa"/>
            <w:bottom w:w="0" w:type="dxa"/>
            <w:right w:w="0" w:type="dxa"/>
          </w:tblCellMar>
        </w:tblPrEx>
        <w:trPr>
          <w:trHeight w:val="1034" w:hRule="atLeast"/>
          <w:jc w:val="center"/>
        </w:trPr>
        <w:tc>
          <w:tcPr>
            <w:tcW w:w="9274" w:type="dxa"/>
            <w:gridSpan w:val="10"/>
            <w:tcBorders>
              <w:top w:val="nil"/>
              <w:left w:val="nil"/>
              <w:bottom w:val="nil"/>
              <w:right w:val="nil"/>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b w:val="0"/>
                <w:bCs w:val="0"/>
                <w:color w:val="auto"/>
                <w:kern w:val="0"/>
                <w:sz w:val="36"/>
                <w:szCs w:val="36"/>
                <w:highlight w:val="none"/>
                <w:lang w:bidi="ar"/>
              </w:rPr>
            </w:pPr>
            <w:bookmarkStart w:id="67" w:name="_Toc15377225"/>
            <w:bookmarkStart w:id="68" w:name="_Toc15396613"/>
          </w:p>
          <w:p>
            <w:pPr>
              <w:widowControl/>
              <w:jc w:val="center"/>
              <w:textAlignment w:val="center"/>
              <w:rPr>
                <w:rFonts w:ascii="宋体" w:hAnsi="宋体" w:cs="宋体"/>
                <w:color w:val="auto"/>
                <w:sz w:val="36"/>
                <w:szCs w:val="36"/>
                <w:highlight w:val="none"/>
              </w:rPr>
            </w:pPr>
            <w:r>
              <w:rPr>
                <w:rFonts w:hint="eastAsia" w:ascii="仿宋_GB2312" w:hAnsi="仿宋_GB2312" w:eastAsia="仿宋_GB2312" w:cs="仿宋_GB2312"/>
                <w:b w:val="0"/>
                <w:bCs w:val="0"/>
                <w:color w:val="auto"/>
                <w:kern w:val="0"/>
                <w:sz w:val="36"/>
                <w:szCs w:val="36"/>
                <w:highlight w:val="none"/>
                <w:lang w:bidi="ar"/>
              </w:rPr>
              <w:t>项目绩效目标完成情况表</w:t>
            </w:r>
            <w:r>
              <w:rPr>
                <w:rFonts w:hint="eastAsia" w:ascii="仿宋_GB2312" w:hAnsi="仿宋_GB2312" w:eastAsia="仿宋_GB2312" w:cs="仿宋_GB2312"/>
                <w:b w:val="0"/>
                <w:bCs w:val="0"/>
                <w:color w:val="auto"/>
                <w:kern w:val="0"/>
                <w:sz w:val="36"/>
                <w:szCs w:val="36"/>
                <w:highlight w:val="none"/>
                <w:lang w:bidi="ar"/>
              </w:rPr>
              <w:br w:type="textWrapping"/>
            </w:r>
            <w:r>
              <w:rPr>
                <w:rFonts w:hint="eastAsia" w:ascii="仿宋_GB2312" w:hAnsi="仿宋_GB2312" w:eastAsia="仿宋_GB2312" w:cs="仿宋_GB2312"/>
                <w:b w:val="0"/>
                <w:bCs w:val="0"/>
                <w:color w:val="auto"/>
                <w:kern w:val="0"/>
                <w:sz w:val="36"/>
                <w:szCs w:val="36"/>
                <w:highlight w:val="none"/>
                <w:lang w:bidi="ar"/>
              </w:rPr>
              <w:t>(20</w:t>
            </w:r>
            <w:r>
              <w:rPr>
                <w:rFonts w:hint="eastAsia" w:ascii="仿宋_GB2312" w:hAnsi="仿宋_GB2312" w:eastAsia="仿宋_GB2312" w:cs="仿宋_GB2312"/>
                <w:b w:val="0"/>
                <w:bCs w:val="0"/>
                <w:color w:val="auto"/>
                <w:kern w:val="0"/>
                <w:sz w:val="36"/>
                <w:szCs w:val="36"/>
                <w:highlight w:val="none"/>
                <w:lang w:val="en-US" w:eastAsia="zh-CN" w:bidi="ar"/>
              </w:rPr>
              <w:t>20</w:t>
            </w:r>
            <w:r>
              <w:rPr>
                <w:rFonts w:hint="eastAsia" w:ascii="仿宋_GB2312" w:hAnsi="仿宋_GB2312" w:eastAsia="仿宋_GB2312" w:cs="仿宋_GB2312"/>
                <w:b w:val="0"/>
                <w:bCs w:val="0"/>
                <w:color w:val="auto"/>
                <w:kern w:val="0"/>
                <w:sz w:val="36"/>
                <w:szCs w:val="36"/>
                <w:highlight w:val="none"/>
                <w:lang w:bidi="ar"/>
              </w:rPr>
              <w:t>年度)</w:t>
            </w:r>
          </w:p>
        </w:tc>
      </w:tr>
      <w:tr>
        <w:tblPrEx>
          <w:tblCellMar>
            <w:top w:w="0" w:type="dxa"/>
            <w:left w:w="0" w:type="dxa"/>
            <w:bottom w:w="0" w:type="dxa"/>
            <w:right w:w="0" w:type="dxa"/>
          </w:tblCellMar>
        </w:tblPrEx>
        <w:trPr>
          <w:trHeight w:val="276" w:hRule="atLeast"/>
          <w:jc w:val="center"/>
        </w:trPr>
        <w:tc>
          <w:tcPr>
            <w:tcW w:w="305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项目名称</w:t>
            </w:r>
          </w:p>
        </w:tc>
        <w:tc>
          <w:tcPr>
            <w:tcW w:w="621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省级化肥</w:t>
            </w:r>
            <w:r>
              <w:rPr>
                <w:rFonts w:hint="eastAsia" w:ascii="仿宋_GB2312" w:hAnsi="仿宋_GB2312" w:eastAsia="仿宋_GB2312" w:cs="仿宋_GB2312"/>
                <w:color w:val="auto"/>
                <w:sz w:val="24"/>
                <w:highlight w:val="none"/>
              </w:rPr>
              <w:t>储备贴息</w:t>
            </w:r>
          </w:p>
        </w:tc>
      </w:tr>
      <w:tr>
        <w:tblPrEx>
          <w:tblCellMar>
            <w:top w:w="0" w:type="dxa"/>
            <w:left w:w="0" w:type="dxa"/>
            <w:bottom w:w="0" w:type="dxa"/>
            <w:right w:w="0" w:type="dxa"/>
          </w:tblCellMar>
        </w:tblPrEx>
        <w:trPr>
          <w:trHeight w:val="276" w:hRule="atLeast"/>
          <w:jc w:val="center"/>
        </w:trPr>
        <w:tc>
          <w:tcPr>
            <w:tcW w:w="305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预算单位</w:t>
            </w:r>
          </w:p>
        </w:tc>
        <w:tc>
          <w:tcPr>
            <w:tcW w:w="621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四川省供销社机关</w:t>
            </w:r>
          </w:p>
        </w:tc>
      </w:tr>
      <w:tr>
        <w:tblPrEx>
          <w:tblCellMar>
            <w:top w:w="0" w:type="dxa"/>
            <w:left w:w="0" w:type="dxa"/>
            <w:bottom w:w="0" w:type="dxa"/>
            <w:right w:w="0" w:type="dxa"/>
          </w:tblCellMar>
        </w:tblPrEx>
        <w:trPr>
          <w:trHeight w:val="389"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预算执行情况(万元)</w:t>
            </w:r>
          </w:p>
        </w:tc>
        <w:tc>
          <w:tcPr>
            <w:tcW w:w="233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预算数:</w:t>
            </w:r>
          </w:p>
        </w:tc>
        <w:tc>
          <w:tcPr>
            <w:tcW w:w="22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760</w:t>
            </w:r>
          </w:p>
        </w:tc>
        <w:tc>
          <w:tcPr>
            <w:tcW w:w="17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执行数:</w:t>
            </w:r>
          </w:p>
        </w:tc>
        <w:tc>
          <w:tcPr>
            <w:tcW w:w="2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760</w:t>
            </w:r>
          </w:p>
        </w:tc>
      </w:tr>
      <w:tr>
        <w:tblPrEx>
          <w:tblCellMar>
            <w:top w:w="0" w:type="dxa"/>
            <w:left w:w="0" w:type="dxa"/>
            <w:bottom w:w="0" w:type="dxa"/>
            <w:right w:w="0" w:type="dxa"/>
          </w:tblCellMar>
        </w:tblPrEx>
        <w:trPr>
          <w:trHeight w:val="389"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auto"/>
                <w:sz w:val="24"/>
                <w:highlight w:val="none"/>
              </w:rPr>
            </w:pPr>
          </w:p>
        </w:tc>
        <w:tc>
          <w:tcPr>
            <w:tcW w:w="233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其中-财政拨款:</w:t>
            </w:r>
          </w:p>
        </w:tc>
        <w:tc>
          <w:tcPr>
            <w:tcW w:w="22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760</w:t>
            </w:r>
          </w:p>
        </w:tc>
        <w:tc>
          <w:tcPr>
            <w:tcW w:w="17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其中-财政拨款:</w:t>
            </w:r>
          </w:p>
        </w:tc>
        <w:tc>
          <w:tcPr>
            <w:tcW w:w="2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760</w:t>
            </w:r>
          </w:p>
        </w:tc>
      </w:tr>
      <w:tr>
        <w:tblPrEx>
          <w:tblCellMar>
            <w:top w:w="0" w:type="dxa"/>
            <w:left w:w="0" w:type="dxa"/>
            <w:bottom w:w="0" w:type="dxa"/>
            <w:right w:w="0" w:type="dxa"/>
          </w:tblCellMar>
        </w:tblPrEx>
        <w:trPr>
          <w:trHeight w:val="422"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auto"/>
                <w:sz w:val="24"/>
                <w:highlight w:val="none"/>
              </w:rPr>
            </w:pPr>
          </w:p>
        </w:tc>
        <w:tc>
          <w:tcPr>
            <w:tcW w:w="233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其它资金:</w:t>
            </w:r>
          </w:p>
        </w:tc>
        <w:tc>
          <w:tcPr>
            <w:tcW w:w="22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0</w:t>
            </w:r>
          </w:p>
        </w:tc>
        <w:tc>
          <w:tcPr>
            <w:tcW w:w="17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其它资金:</w:t>
            </w:r>
          </w:p>
        </w:tc>
        <w:tc>
          <w:tcPr>
            <w:tcW w:w="2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0</w:t>
            </w:r>
          </w:p>
        </w:tc>
      </w:tr>
      <w:tr>
        <w:tblPrEx>
          <w:tblCellMar>
            <w:top w:w="0" w:type="dxa"/>
            <w:left w:w="0" w:type="dxa"/>
            <w:bottom w:w="0" w:type="dxa"/>
            <w:right w:w="0" w:type="dxa"/>
          </w:tblCellMar>
        </w:tblPrEx>
        <w:trPr>
          <w:trHeight w:val="276"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年度目标完成情况</w:t>
            </w:r>
          </w:p>
        </w:tc>
        <w:tc>
          <w:tcPr>
            <w:tcW w:w="457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预期目标</w:t>
            </w:r>
          </w:p>
        </w:tc>
        <w:tc>
          <w:tcPr>
            <w:tcW w:w="398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实际完成目标</w:t>
            </w:r>
          </w:p>
        </w:tc>
      </w:tr>
      <w:tr>
        <w:tblPrEx>
          <w:tblCellMar>
            <w:top w:w="0" w:type="dxa"/>
            <w:left w:w="0" w:type="dxa"/>
            <w:bottom w:w="0" w:type="dxa"/>
            <w:right w:w="0" w:type="dxa"/>
          </w:tblCellMar>
        </w:tblPrEx>
        <w:trPr>
          <w:trHeight w:val="1159"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auto"/>
                <w:sz w:val="24"/>
                <w:highlight w:val="none"/>
              </w:rPr>
            </w:pPr>
          </w:p>
        </w:tc>
        <w:tc>
          <w:tcPr>
            <w:tcW w:w="4571"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所储备的化肥主要用于保障边远山区、民族地区和突发自然灾害地区的救灾、救助及生产需要，平抑价格，确保农业生产生活顺利。按省供销社《省级化肥储备管理办法》（川供经[2018]138号）进行考核，省级化肥淡季储备任务量30万吨，累计调入45万吨，预计平均单价2350元，总资金10.58亿，需增加银行贷款5.29亿元（按一半计算），按6%的贷款利率计算，储备期（6个月）增加贷款利息1587万元。</w:t>
            </w:r>
          </w:p>
        </w:tc>
        <w:tc>
          <w:tcPr>
            <w:tcW w:w="398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2019年11月至2020年4月储备期间，累计调入量为128.18万吨，月平均库存量为22.04万吨。平均资金占用50,632.31万元，按照贷款加权平均年利率4.98%计算，占用资金利息共计1,260.75万元。在储备期间完成了2020年的省级化肥储备任务。</w:t>
            </w:r>
          </w:p>
        </w:tc>
      </w:tr>
      <w:tr>
        <w:tblPrEx>
          <w:tblCellMar>
            <w:top w:w="0" w:type="dxa"/>
            <w:left w:w="0" w:type="dxa"/>
            <w:bottom w:w="0" w:type="dxa"/>
            <w:right w:w="0" w:type="dxa"/>
          </w:tblCellMar>
        </w:tblPrEx>
        <w:trPr>
          <w:trHeight w:val="853" w:hRule="atLeast"/>
          <w:jc w:val="center"/>
        </w:trPr>
        <w:tc>
          <w:tcPr>
            <w:tcW w:w="72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绩效指标完成情况</w:t>
            </w:r>
          </w:p>
        </w:tc>
        <w:tc>
          <w:tcPr>
            <w:tcW w:w="10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一级指标</w:t>
            </w:r>
          </w:p>
        </w:tc>
        <w:tc>
          <w:tcPr>
            <w:tcW w:w="13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二级指标</w:t>
            </w:r>
          </w:p>
        </w:tc>
        <w:tc>
          <w:tcPr>
            <w:tcW w:w="22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三级指标</w:t>
            </w:r>
          </w:p>
        </w:tc>
        <w:tc>
          <w:tcPr>
            <w:tcW w:w="17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预期指标值(包含数字及文字描述)</w:t>
            </w:r>
          </w:p>
        </w:tc>
        <w:tc>
          <w:tcPr>
            <w:tcW w:w="2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实际完成指标值(包含数字及文字描述)</w:t>
            </w:r>
          </w:p>
        </w:tc>
      </w:tr>
      <w:tr>
        <w:tblPrEx>
          <w:tblCellMar>
            <w:top w:w="0" w:type="dxa"/>
            <w:left w:w="0" w:type="dxa"/>
            <w:bottom w:w="0" w:type="dxa"/>
            <w:right w:w="0" w:type="dxa"/>
          </w:tblCellMar>
        </w:tblPrEx>
        <w:trPr>
          <w:trHeight w:val="690" w:hRule="atLeast"/>
          <w:jc w:val="center"/>
        </w:trPr>
        <w:tc>
          <w:tcPr>
            <w:tcW w:w="72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p>
        </w:tc>
        <w:tc>
          <w:tcPr>
            <w:tcW w:w="10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项目完成指标</w:t>
            </w:r>
          </w:p>
        </w:tc>
        <w:tc>
          <w:tcPr>
            <w:tcW w:w="13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数量指标</w:t>
            </w:r>
          </w:p>
        </w:tc>
        <w:tc>
          <w:tcPr>
            <w:tcW w:w="22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完成储备任务量</w:t>
            </w:r>
          </w:p>
        </w:tc>
        <w:tc>
          <w:tcPr>
            <w:tcW w:w="17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30万吨</w:t>
            </w:r>
          </w:p>
        </w:tc>
        <w:tc>
          <w:tcPr>
            <w:tcW w:w="2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累计调入量为128.18万吨，月平均库存量为22.04万吨。</w:t>
            </w:r>
          </w:p>
        </w:tc>
      </w:tr>
      <w:tr>
        <w:tblPrEx>
          <w:tblCellMar>
            <w:top w:w="0" w:type="dxa"/>
            <w:left w:w="0" w:type="dxa"/>
            <w:bottom w:w="0" w:type="dxa"/>
            <w:right w:w="0" w:type="dxa"/>
          </w:tblCellMar>
        </w:tblPrEx>
        <w:trPr>
          <w:trHeight w:val="830" w:hRule="atLeast"/>
          <w:jc w:val="center"/>
        </w:trPr>
        <w:tc>
          <w:tcPr>
            <w:tcW w:w="72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p>
        </w:tc>
        <w:tc>
          <w:tcPr>
            <w:tcW w:w="10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项目完成指标</w:t>
            </w:r>
          </w:p>
        </w:tc>
        <w:tc>
          <w:tcPr>
            <w:tcW w:w="13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质量指标</w:t>
            </w:r>
          </w:p>
        </w:tc>
        <w:tc>
          <w:tcPr>
            <w:tcW w:w="22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rPr>
              <w:t>省级化肥淡季储备评审合格率</w:t>
            </w:r>
          </w:p>
        </w:tc>
        <w:tc>
          <w:tcPr>
            <w:tcW w:w="17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100%</w:t>
            </w:r>
          </w:p>
        </w:tc>
        <w:tc>
          <w:tcPr>
            <w:tcW w:w="2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100%</w:t>
            </w:r>
          </w:p>
        </w:tc>
      </w:tr>
      <w:tr>
        <w:tblPrEx>
          <w:tblCellMar>
            <w:top w:w="0" w:type="dxa"/>
            <w:left w:w="0" w:type="dxa"/>
            <w:bottom w:w="0" w:type="dxa"/>
            <w:right w:w="0" w:type="dxa"/>
          </w:tblCellMar>
        </w:tblPrEx>
        <w:trPr>
          <w:trHeight w:val="935" w:hRule="atLeast"/>
          <w:jc w:val="center"/>
        </w:trPr>
        <w:tc>
          <w:tcPr>
            <w:tcW w:w="72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p>
        </w:tc>
        <w:tc>
          <w:tcPr>
            <w:tcW w:w="10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效益指标</w:t>
            </w:r>
          </w:p>
        </w:tc>
        <w:tc>
          <w:tcPr>
            <w:tcW w:w="13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社会效益指标</w:t>
            </w:r>
          </w:p>
        </w:tc>
        <w:tc>
          <w:tcPr>
            <w:tcW w:w="22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省级化肥淡季储备影响率</w:t>
            </w:r>
          </w:p>
        </w:tc>
        <w:tc>
          <w:tcPr>
            <w:tcW w:w="17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99%</w:t>
            </w:r>
          </w:p>
        </w:tc>
        <w:tc>
          <w:tcPr>
            <w:tcW w:w="2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99%</w:t>
            </w:r>
          </w:p>
        </w:tc>
      </w:tr>
      <w:tr>
        <w:tblPrEx>
          <w:tblCellMar>
            <w:top w:w="0" w:type="dxa"/>
            <w:left w:w="0" w:type="dxa"/>
            <w:bottom w:w="0" w:type="dxa"/>
            <w:right w:w="0" w:type="dxa"/>
          </w:tblCellMar>
        </w:tblPrEx>
        <w:trPr>
          <w:trHeight w:val="770" w:hRule="atLeast"/>
          <w:jc w:val="center"/>
        </w:trPr>
        <w:tc>
          <w:tcPr>
            <w:tcW w:w="72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p>
        </w:tc>
        <w:tc>
          <w:tcPr>
            <w:tcW w:w="10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效益指标</w:t>
            </w:r>
          </w:p>
        </w:tc>
        <w:tc>
          <w:tcPr>
            <w:tcW w:w="13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可持续影响指标</w:t>
            </w:r>
          </w:p>
        </w:tc>
        <w:tc>
          <w:tcPr>
            <w:tcW w:w="22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储备影响年限</w:t>
            </w:r>
          </w:p>
        </w:tc>
        <w:tc>
          <w:tcPr>
            <w:tcW w:w="17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≥1年</w:t>
            </w:r>
          </w:p>
        </w:tc>
        <w:tc>
          <w:tcPr>
            <w:tcW w:w="2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≥1年</w:t>
            </w:r>
          </w:p>
        </w:tc>
      </w:tr>
      <w:tr>
        <w:tblPrEx>
          <w:tblCellMar>
            <w:top w:w="0" w:type="dxa"/>
            <w:left w:w="0" w:type="dxa"/>
            <w:bottom w:w="0" w:type="dxa"/>
            <w:right w:w="0" w:type="dxa"/>
          </w:tblCellMar>
        </w:tblPrEx>
        <w:trPr>
          <w:trHeight w:val="667" w:hRule="atLeast"/>
          <w:jc w:val="center"/>
        </w:trPr>
        <w:tc>
          <w:tcPr>
            <w:tcW w:w="72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p>
        </w:tc>
        <w:tc>
          <w:tcPr>
            <w:tcW w:w="10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满意度指标</w:t>
            </w:r>
          </w:p>
        </w:tc>
        <w:tc>
          <w:tcPr>
            <w:tcW w:w="130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满意度指标</w:t>
            </w:r>
          </w:p>
        </w:tc>
        <w:tc>
          <w:tcPr>
            <w:tcW w:w="22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服务对象满意度</w:t>
            </w:r>
          </w:p>
        </w:tc>
        <w:tc>
          <w:tcPr>
            <w:tcW w:w="173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≥95%</w:t>
            </w:r>
          </w:p>
        </w:tc>
        <w:tc>
          <w:tcPr>
            <w:tcW w:w="22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≥95%</w:t>
            </w:r>
          </w:p>
        </w:tc>
      </w:tr>
      <w:tr>
        <w:tblPrEx>
          <w:tblCellMar>
            <w:top w:w="0" w:type="dxa"/>
            <w:left w:w="0" w:type="dxa"/>
            <w:bottom w:w="0" w:type="dxa"/>
            <w:right w:w="0" w:type="dxa"/>
          </w:tblCellMar>
        </w:tblPrEx>
        <w:trPr>
          <w:trHeight w:val="1034" w:hRule="atLeast"/>
          <w:jc w:val="center"/>
        </w:trPr>
        <w:tc>
          <w:tcPr>
            <w:tcW w:w="9274" w:type="dxa"/>
            <w:gridSpan w:val="10"/>
            <w:tcBorders>
              <w:top w:val="nil"/>
              <w:left w:val="nil"/>
              <w:bottom w:val="nil"/>
              <w:right w:val="nil"/>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b w:val="0"/>
                <w:bCs w:val="0"/>
                <w:color w:val="auto"/>
                <w:kern w:val="0"/>
                <w:sz w:val="36"/>
                <w:szCs w:val="36"/>
                <w:highlight w:val="none"/>
                <w:lang w:bidi="ar"/>
              </w:rPr>
            </w:pPr>
          </w:p>
          <w:p>
            <w:pPr>
              <w:widowControl/>
              <w:jc w:val="center"/>
              <w:textAlignment w:val="center"/>
              <w:rPr>
                <w:rFonts w:ascii="宋体" w:hAnsi="宋体" w:cs="宋体"/>
                <w:color w:val="auto"/>
                <w:sz w:val="36"/>
                <w:szCs w:val="36"/>
                <w:highlight w:val="none"/>
              </w:rPr>
            </w:pPr>
            <w:r>
              <w:rPr>
                <w:rFonts w:hint="eastAsia" w:ascii="仿宋_GB2312" w:hAnsi="仿宋_GB2312" w:eastAsia="仿宋_GB2312" w:cs="仿宋_GB2312"/>
                <w:b w:val="0"/>
                <w:bCs w:val="0"/>
                <w:color w:val="auto"/>
                <w:kern w:val="0"/>
                <w:sz w:val="36"/>
                <w:szCs w:val="36"/>
                <w:highlight w:val="none"/>
                <w:lang w:bidi="ar"/>
              </w:rPr>
              <w:t>项目绩效目标完成情况表</w:t>
            </w:r>
            <w:r>
              <w:rPr>
                <w:rFonts w:hint="eastAsia" w:ascii="仿宋_GB2312" w:hAnsi="仿宋_GB2312" w:eastAsia="仿宋_GB2312" w:cs="仿宋_GB2312"/>
                <w:b w:val="0"/>
                <w:bCs w:val="0"/>
                <w:color w:val="auto"/>
                <w:kern w:val="0"/>
                <w:sz w:val="36"/>
                <w:szCs w:val="36"/>
                <w:highlight w:val="none"/>
                <w:lang w:bidi="ar"/>
              </w:rPr>
              <w:br w:type="textWrapping"/>
            </w:r>
            <w:r>
              <w:rPr>
                <w:rFonts w:hint="eastAsia" w:ascii="仿宋_GB2312" w:hAnsi="仿宋_GB2312" w:eastAsia="仿宋_GB2312" w:cs="仿宋_GB2312"/>
                <w:b w:val="0"/>
                <w:bCs w:val="0"/>
                <w:color w:val="auto"/>
                <w:kern w:val="0"/>
                <w:sz w:val="36"/>
                <w:szCs w:val="36"/>
                <w:highlight w:val="none"/>
                <w:lang w:bidi="ar"/>
              </w:rPr>
              <w:t>(20</w:t>
            </w:r>
            <w:r>
              <w:rPr>
                <w:rFonts w:hint="eastAsia" w:ascii="仿宋_GB2312" w:hAnsi="仿宋_GB2312" w:eastAsia="仿宋_GB2312" w:cs="仿宋_GB2312"/>
                <w:b w:val="0"/>
                <w:bCs w:val="0"/>
                <w:color w:val="auto"/>
                <w:kern w:val="0"/>
                <w:sz w:val="36"/>
                <w:szCs w:val="36"/>
                <w:highlight w:val="none"/>
                <w:lang w:val="en-US" w:eastAsia="zh-CN" w:bidi="ar"/>
              </w:rPr>
              <w:t>20</w:t>
            </w:r>
            <w:r>
              <w:rPr>
                <w:rFonts w:hint="eastAsia" w:ascii="仿宋_GB2312" w:hAnsi="仿宋_GB2312" w:eastAsia="仿宋_GB2312" w:cs="仿宋_GB2312"/>
                <w:b w:val="0"/>
                <w:bCs w:val="0"/>
                <w:color w:val="auto"/>
                <w:kern w:val="0"/>
                <w:sz w:val="36"/>
                <w:szCs w:val="36"/>
                <w:highlight w:val="none"/>
                <w:lang w:bidi="ar"/>
              </w:rPr>
              <w:t>年度)</w:t>
            </w:r>
          </w:p>
        </w:tc>
      </w:tr>
      <w:tr>
        <w:tblPrEx>
          <w:tblCellMar>
            <w:top w:w="0" w:type="dxa"/>
            <w:left w:w="0" w:type="dxa"/>
            <w:bottom w:w="0" w:type="dxa"/>
            <w:right w:w="0" w:type="dxa"/>
          </w:tblCellMar>
        </w:tblPrEx>
        <w:trPr>
          <w:trHeight w:val="276" w:hRule="atLeast"/>
          <w:jc w:val="center"/>
        </w:trPr>
        <w:tc>
          <w:tcPr>
            <w:tcW w:w="27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项目名称</w:t>
            </w:r>
          </w:p>
        </w:tc>
        <w:tc>
          <w:tcPr>
            <w:tcW w:w="649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四川省商贸学校农村电子商务“产学研”基地项目</w:t>
            </w:r>
          </w:p>
        </w:tc>
      </w:tr>
      <w:tr>
        <w:tblPrEx>
          <w:tblCellMar>
            <w:top w:w="0" w:type="dxa"/>
            <w:left w:w="0" w:type="dxa"/>
            <w:bottom w:w="0" w:type="dxa"/>
            <w:right w:w="0" w:type="dxa"/>
          </w:tblCellMar>
        </w:tblPrEx>
        <w:trPr>
          <w:trHeight w:val="276" w:hRule="atLeast"/>
          <w:jc w:val="center"/>
        </w:trPr>
        <w:tc>
          <w:tcPr>
            <w:tcW w:w="278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预算单位</w:t>
            </w:r>
          </w:p>
        </w:tc>
        <w:tc>
          <w:tcPr>
            <w:tcW w:w="649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四川省商贸学校</w:t>
            </w:r>
          </w:p>
        </w:tc>
      </w:tr>
      <w:tr>
        <w:tblPrEx>
          <w:tblCellMar>
            <w:top w:w="0" w:type="dxa"/>
            <w:left w:w="0" w:type="dxa"/>
            <w:bottom w:w="0" w:type="dxa"/>
            <w:right w:w="0" w:type="dxa"/>
          </w:tblCellMar>
        </w:tblPrEx>
        <w:trPr>
          <w:trHeight w:val="389"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预算执行情况(万元)</w:t>
            </w:r>
          </w:p>
        </w:tc>
        <w:tc>
          <w:tcPr>
            <w:tcW w:w="206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预算数:</w:t>
            </w:r>
          </w:p>
        </w:tc>
        <w:tc>
          <w:tcPr>
            <w:tcW w:w="22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1378.84</w:t>
            </w:r>
          </w:p>
        </w:tc>
        <w:tc>
          <w:tcPr>
            <w:tcW w:w="17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执行数:</w:t>
            </w:r>
          </w:p>
        </w:tc>
        <w:tc>
          <w:tcPr>
            <w:tcW w:w="244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1378.84</w:t>
            </w:r>
          </w:p>
        </w:tc>
      </w:tr>
      <w:tr>
        <w:tblPrEx>
          <w:tblCellMar>
            <w:top w:w="0" w:type="dxa"/>
            <w:left w:w="0" w:type="dxa"/>
            <w:bottom w:w="0" w:type="dxa"/>
            <w:right w:w="0" w:type="dxa"/>
          </w:tblCellMar>
        </w:tblPrEx>
        <w:trPr>
          <w:trHeight w:val="598"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auto"/>
                <w:sz w:val="24"/>
                <w:highlight w:val="none"/>
              </w:rPr>
            </w:pPr>
          </w:p>
        </w:tc>
        <w:tc>
          <w:tcPr>
            <w:tcW w:w="206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其中-财政拨款:</w:t>
            </w:r>
          </w:p>
        </w:tc>
        <w:tc>
          <w:tcPr>
            <w:tcW w:w="22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1362.56</w:t>
            </w:r>
          </w:p>
        </w:tc>
        <w:tc>
          <w:tcPr>
            <w:tcW w:w="17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其中-财政拨款:</w:t>
            </w:r>
          </w:p>
        </w:tc>
        <w:tc>
          <w:tcPr>
            <w:tcW w:w="244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1362.56</w:t>
            </w:r>
          </w:p>
        </w:tc>
      </w:tr>
      <w:tr>
        <w:tblPrEx>
          <w:tblCellMar>
            <w:top w:w="0" w:type="dxa"/>
            <w:left w:w="0" w:type="dxa"/>
            <w:bottom w:w="0" w:type="dxa"/>
            <w:right w:w="0" w:type="dxa"/>
          </w:tblCellMar>
        </w:tblPrEx>
        <w:trPr>
          <w:trHeight w:val="54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auto"/>
                <w:sz w:val="24"/>
                <w:highlight w:val="none"/>
              </w:rPr>
            </w:pPr>
          </w:p>
        </w:tc>
        <w:tc>
          <w:tcPr>
            <w:tcW w:w="206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其它资金:</w:t>
            </w:r>
          </w:p>
        </w:tc>
        <w:tc>
          <w:tcPr>
            <w:tcW w:w="22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16.28</w:t>
            </w:r>
          </w:p>
        </w:tc>
        <w:tc>
          <w:tcPr>
            <w:tcW w:w="17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其它资金:</w:t>
            </w:r>
          </w:p>
        </w:tc>
        <w:tc>
          <w:tcPr>
            <w:tcW w:w="244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16.28</w:t>
            </w:r>
          </w:p>
        </w:tc>
      </w:tr>
      <w:tr>
        <w:tblPrEx>
          <w:tblCellMar>
            <w:top w:w="0" w:type="dxa"/>
            <w:left w:w="0" w:type="dxa"/>
            <w:bottom w:w="0" w:type="dxa"/>
            <w:right w:w="0" w:type="dxa"/>
          </w:tblCellMar>
        </w:tblPrEx>
        <w:trPr>
          <w:trHeight w:val="276"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年度目标完成情况</w:t>
            </w:r>
          </w:p>
        </w:tc>
        <w:tc>
          <w:tcPr>
            <w:tcW w:w="432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预期目标</w:t>
            </w:r>
          </w:p>
        </w:tc>
        <w:tc>
          <w:tcPr>
            <w:tcW w:w="423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实际完成目标</w:t>
            </w:r>
          </w:p>
        </w:tc>
      </w:tr>
      <w:tr>
        <w:tblPrEx>
          <w:tblCellMar>
            <w:top w:w="0" w:type="dxa"/>
            <w:left w:w="0" w:type="dxa"/>
            <w:bottom w:w="0" w:type="dxa"/>
            <w:right w:w="0" w:type="dxa"/>
          </w:tblCellMar>
        </w:tblPrEx>
        <w:trPr>
          <w:trHeight w:val="1159"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color w:val="auto"/>
                <w:sz w:val="24"/>
                <w:highlight w:val="none"/>
              </w:rPr>
            </w:pPr>
          </w:p>
        </w:tc>
        <w:tc>
          <w:tcPr>
            <w:tcW w:w="432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2020年，建设四川省农村电子商务“产学研”基地项目，完成建筑面积10116.47平方米，（其中：地上9795.01平方米，地下321.46平方米），地上5F，地下1F，主要工程全部完工，申请年度资金总额全部实现支付，基本满足使用功能。</w:t>
            </w:r>
          </w:p>
        </w:tc>
        <w:tc>
          <w:tcPr>
            <w:tcW w:w="423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2020年已完成的目标任务是该项目主体工程，达到主体工程验收合格率100%的质量指标，目前已通过主体工程验收。项目建成后，预计可实现服务全校2500余名师生、农村电子商务产教融合服务社会覆盖面60%的社会效益，满足学校可持续发展要求，师生综合满意度85%以上。</w:t>
            </w:r>
          </w:p>
        </w:tc>
      </w:tr>
      <w:tr>
        <w:tblPrEx>
          <w:tblCellMar>
            <w:top w:w="0" w:type="dxa"/>
            <w:left w:w="0" w:type="dxa"/>
            <w:bottom w:w="0" w:type="dxa"/>
            <w:right w:w="0" w:type="dxa"/>
          </w:tblCellMar>
        </w:tblPrEx>
        <w:trPr>
          <w:trHeight w:val="853" w:hRule="atLeast"/>
          <w:jc w:val="center"/>
        </w:trPr>
        <w:tc>
          <w:tcPr>
            <w:tcW w:w="720"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绩效指标完成情况</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一级指标</w:t>
            </w:r>
          </w:p>
        </w:tc>
        <w:tc>
          <w:tcPr>
            <w:tcW w:w="12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二级指标</w:t>
            </w:r>
          </w:p>
        </w:tc>
        <w:tc>
          <w:tcPr>
            <w:tcW w:w="22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三级指标</w:t>
            </w:r>
          </w:p>
        </w:tc>
        <w:tc>
          <w:tcPr>
            <w:tcW w:w="17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预期指标值(包含数字及文字描述)</w:t>
            </w:r>
          </w:p>
        </w:tc>
        <w:tc>
          <w:tcPr>
            <w:tcW w:w="244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实际完成指标值(包含数字及文字描述)</w:t>
            </w:r>
          </w:p>
        </w:tc>
      </w:tr>
      <w:tr>
        <w:tblPrEx>
          <w:tblCellMar>
            <w:top w:w="0" w:type="dxa"/>
            <w:left w:w="0" w:type="dxa"/>
            <w:bottom w:w="0" w:type="dxa"/>
            <w:right w:w="0" w:type="dxa"/>
          </w:tblCellMar>
        </w:tblPrEx>
        <w:trPr>
          <w:trHeight w:val="690" w:hRule="atLeast"/>
          <w:jc w:val="center"/>
        </w:trPr>
        <w:tc>
          <w:tcPr>
            <w:tcW w:w="720" w:type="dxa"/>
            <w:vMerge w:val="restart"/>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项目完成指标</w:t>
            </w:r>
          </w:p>
        </w:tc>
        <w:tc>
          <w:tcPr>
            <w:tcW w:w="12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数量指标</w:t>
            </w:r>
          </w:p>
        </w:tc>
        <w:tc>
          <w:tcPr>
            <w:tcW w:w="22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主体工程建筑面积</w:t>
            </w:r>
          </w:p>
        </w:tc>
        <w:tc>
          <w:tcPr>
            <w:tcW w:w="17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10116.47平方米</w:t>
            </w:r>
          </w:p>
        </w:tc>
        <w:tc>
          <w:tcPr>
            <w:tcW w:w="244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已完成主体竣工面积10116.47㎡，土建工程基槽、地基、主体分部验收合格</w:t>
            </w:r>
          </w:p>
        </w:tc>
      </w:tr>
      <w:tr>
        <w:tblPrEx>
          <w:tblCellMar>
            <w:top w:w="0" w:type="dxa"/>
            <w:left w:w="0" w:type="dxa"/>
            <w:bottom w:w="0" w:type="dxa"/>
            <w:right w:w="0" w:type="dxa"/>
          </w:tblCellMar>
        </w:tblPrEx>
        <w:trPr>
          <w:trHeight w:val="830" w:hRule="atLeast"/>
          <w:jc w:val="center"/>
        </w:trPr>
        <w:tc>
          <w:tcPr>
            <w:tcW w:w="72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项目完成指标</w:t>
            </w:r>
          </w:p>
        </w:tc>
        <w:tc>
          <w:tcPr>
            <w:tcW w:w="12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数量指标</w:t>
            </w:r>
          </w:p>
        </w:tc>
        <w:tc>
          <w:tcPr>
            <w:tcW w:w="22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完成中等职业学校产教融合发展工程项目</w:t>
            </w:r>
          </w:p>
        </w:tc>
        <w:tc>
          <w:tcPr>
            <w:tcW w:w="17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个</w:t>
            </w:r>
          </w:p>
        </w:tc>
        <w:tc>
          <w:tcPr>
            <w:tcW w:w="244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1个</w:t>
            </w:r>
          </w:p>
        </w:tc>
      </w:tr>
      <w:tr>
        <w:tblPrEx>
          <w:tblCellMar>
            <w:top w:w="0" w:type="dxa"/>
            <w:left w:w="0" w:type="dxa"/>
            <w:bottom w:w="0" w:type="dxa"/>
            <w:right w:w="0" w:type="dxa"/>
          </w:tblCellMar>
        </w:tblPrEx>
        <w:trPr>
          <w:trHeight w:val="719" w:hRule="atLeast"/>
          <w:jc w:val="center"/>
        </w:trPr>
        <w:tc>
          <w:tcPr>
            <w:tcW w:w="72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项目完成指标</w:t>
            </w:r>
          </w:p>
        </w:tc>
        <w:tc>
          <w:tcPr>
            <w:tcW w:w="12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数量指标</w:t>
            </w:r>
          </w:p>
        </w:tc>
        <w:tc>
          <w:tcPr>
            <w:tcW w:w="22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服务全校师生人数</w:t>
            </w:r>
          </w:p>
        </w:tc>
        <w:tc>
          <w:tcPr>
            <w:tcW w:w="17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2500人</w:t>
            </w:r>
          </w:p>
        </w:tc>
        <w:tc>
          <w:tcPr>
            <w:tcW w:w="244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2500人</w:t>
            </w:r>
          </w:p>
        </w:tc>
      </w:tr>
      <w:tr>
        <w:tblPrEx>
          <w:tblCellMar>
            <w:top w:w="0" w:type="dxa"/>
            <w:left w:w="0" w:type="dxa"/>
            <w:bottom w:w="0" w:type="dxa"/>
            <w:right w:w="0" w:type="dxa"/>
          </w:tblCellMar>
        </w:tblPrEx>
        <w:trPr>
          <w:trHeight w:val="719" w:hRule="atLeast"/>
          <w:jc w:val="center"/>
        </w:trPr>
        <w:tc>
          <w:tcPr>
            <w:tcW w:w="72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0"/>
                <w:sz w:val="24"/>
                <w:highlight w:val="none"/>
                <w:lang w:bidi="ar"/>
              </w:rPr>
              <w:t>项目完成指标</w:t>
            </w:r>
          </w:p>
        </w:tc>
        <w:tc>
          <w:tcPr>
            <w:tcW w:w="12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质量指标</w:t>
            </w:r>
          </w:p>
        </w:tc>
        <w:tc>
          <w:tcPr>
            <w:tcW w:w="22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主体工程验收合格率</w:t>
            </w:r>
          </w:p>
        </w:tc>
        <w:tc>
          <w:tcPr>
            <w:tcW w:w="17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100%</w:t>
            </w:r>
          </w:p>
        </w:tc>
        <w:tc>
          <w:tcPr>
            <w:tcW w:w="244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100%</w:t>
            </w:r>
          </w:p>
        </w:tc>
      </w:tr>
      <w:tr>
        <w:tblPrEx>
          <w:tblCellMar>
            <w:top w:w="0" w:type="dxa"/>
            <w:left w:w="0" w:type="dxa"/>
            <w:bottom w:w="0" w:type="dxa"/>
            <w:right w:w="0" w:type="dxa"/>
          </w:tblCellMar>
        </w:tblPrEx>
        <w:trPr>
          <w:trHeight w:val="935" w:hRule="atLeast"/>
          <w:jc w:val="center"/>
        </w:trPr>
        <w:tc>
          <w:tcPr>
            <w:tcW w:w="72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效益指标</w:t>
            </w:r>
          </w:p>
        </w:tc>
        <w:tc>
          <w:tcPr>
            <w:tcW w:w="12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社会效益指标</w:t>
            </w:r>
          </w:p>
        </w:tc>
        <w:tc>
          <w:tcPr>
            <w:tcW w:w="22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对省内农村电商发展起促进作用</w:t>
            </w:r>
          </w:p>
        </w:tc>
        <w:tc>
          <w:tcPr>
            <w:tcW w:w="17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基本满足需求</w:t>
            </w:r>
          </w:p>
        </w:tc>
        <w:tc>
          <w:tcPr>
            <w:tcW w:w="244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基本满足需求</w:t>
            </w:r>
          </w:p>
        </w:tc>
      </w:tr>
      <w:tr>
        <w:tblPrEx>
          <w:tblCellMar>
            <w:top w:w="0" w:type="dxa"/>
            <w:left w:w="0" w:type="dxa"/>
            <w:bottom w:w="0" w:type="dxa"/>
            <w:right w:w="0" w:type="dxa"/>
          </w:tblCellMar>
        </w:tblPrEx>
        <w:trPr>
          <w:trHeight w:val="734" w:hRule="atLeast"/>
          <w:jc w:val="center"/>
        </w:trPr>
        <w:tc>
          <w:tcPr>
            <w:tcW w:w="72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效益指标</w:t>
            </w:r>
          </w:p>
        </w:tc>
        <w:tc>
          <w:tcPr>
            <w:tcW w:w="12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社会效益指标</w:t>
            </w:r>
          </w:p>
        </w:tc>
        <w:tc>
          <w:tcPr>
            <w:tcW w:w="22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产教融合服务社会覆盖面</w:t>
            </w:r>
          </w:p>
        </w:tc>
        <w:tc>
          <w:tcPr>
            <w:tcW w:w="17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60%</w:t>
            </w:r>
          </w:p>
        </w:tc>
        <w:tc>
          <w:tcPr>
            <w:tcW w:w="244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60%</w:t>
            </w:r>
          </w:p>
        </w:tc>
      </w:tr>
      <w:tr>
        <w:tblPrEx>
          <w:tblCellMar>
            <w:top w:w="0" w:type="dxa"/>
            <w:left w:w="0" w:type="dxa"/>
            <w:bottom w:w="0" w:type="dxa"/>
            <w:right w:w="0" w:type="dxa"/>
          </w:tblCellMar>
        </w:tblPrEx>
        <w:trPr>
          <w:trHeight w:val="667" w:hRule="atLeast"/>
          <w:jc w:val="center"/>
        </w:trPr>
        <w:tc>
          <w:tcPr>
            <w:tcW w:w="72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满意度指标</w:t>
            </w:r>
          </w:p>
        </w:tc>
        <w:tc>
          <w:tcPr>
            <w:tcW w:w="12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满意度指标</w:t>
            </w:r>
          </w:p>
        </w:tc>
        <w:tc>
          <w:tcPr>
            <w:tcW w:w="22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师生综合满意度</w:t>
            </w:r>
          </w:p>
        </w:tc>
        <w:tc>
          <w:tcPr>
            <w:tcW w:w="17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95%</w:t>
            </w:r>
          </w:p>
        </w:tc>
        <w:tc>
          <w:tcPr>
            <w:tcW w:w="244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85%</w:t>
            </w:r>
          </w:p>
        </w:tc>
      </w:tr>
    </w:tbl>
    <w:p>
      <w:pPr>
        <w:keepNext w:val="0"/>
        <w:keepLines w:val="0"/>
        <w:pageBreakBefore w:val="0"/>
        <w:widowControl w:val="0"/>
        <w:kinsoku/>
        <w:wordWrap/>
        <w:overflowPunct/>
        <w:topLinePunct w:val="0"/>
        <w:autoSpaceDE/>
        <w:autoSpaceDN/>
        <w:bidi w:val="0"/>
        <w:adjustRightInd/>
        <w:snapToGrid/>
        <w:spacing w:line="560" w:lineRule="exact"/>
        <w:ind w:left="630"/>
        <w:textAlignment w:val="auto"/>
        <w:rPr>
          <w:rFonts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2.部门绩效评价结果。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本部门按要求对20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年部门整体支出绩效评价情况开展自评，《202</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四川省供销合作社联合社</w:t>
      </w:r>
      <w:r>
        <w:rPr>
          <w:rFonts w:hint="eastAsia" w:ascii="仿宋_GB2312" w:hAnsi="仿宋_GB2312" w:eastAsia="仿宋_GB2312" w:cs="仿宋_GB2312"/>
          <w:color w:val="auto"/>
          <w:sz w:val="32"/>
          <w:szCs w:val="32"/>
          <w:highlight w:val="none"/>
        </w:rPr>
        <w:t>部门整体支出绩效评价报告》见附件（附件1）。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b/>
          <w:color w:val="auto"/>
          <w:sz w:val="32"/>
          <w:szCs w:val="32"/>
          <w:highlight w:val="none"/>
        </w:rPr>
      </w:pPr>
      <w:r>
        <w:rPr>
          <w:rFonts w:hint="eastAsia" w:ascii="仿宋_GB2312" w:hAnsi="仿宋_GB2312" w:eastAsia="仿宋_GB2312" w:cs="仿宋_GB2312"/>
          <w:color w:val="auto"/>
          <w:sz w:val="32"/>
          <w:szCs w:val="32"/>
          <w:highlight w:val="none"/>
        </w:rPr>
        <w:t>本部门自行组织对</w:t>
      </w:r>
      <w:r>
        <w:rPr>
          <w:rFonts w:hint="eastAsia" w:ascii="仿宋_GB2312" w:hAnsi="仿宋_GB2312" w:eastAsia="仿宋_GB2312" w:cs="仿宋_GB2312"/>
          <w:color w:val="auto"/>
          <w:sz w:val="32"/>
          <w:szCs w:val="32"/>
          <w:highlight w:val="none"/>
          <w:lang w:val="en-US" w:eastAsia="zh-CN"/>
        </w:rPr>
        <w:t>省级供销综合改革及发展</w:t>
      </w:r>
      <w:r>
        <w:rPr>
          <w:rFonts w:hint="eastAsia" w:ascii="仿宋_GB2312" w:hAnsi="仿宋_GB2312" w:eastAsia="仿宋_GB2312" w:cs="仿宋_GB2312"/>
          <w:color w:val="auto"/>
          <w:sz w:val="32"/>
          <w:szCs w:val="32"/>
          <w:highlight w:val="none"/>
        </w:rPr>
        <w:t>专项项目、</w:t>
      </w:r>
      <w:r>
        <w:rPr>
          <w:rFonts w:hint="eastAsia" w:ascii="仿宋_GB2312" w:hAnsi="仿宋_GB2312" w:eastAsia="仿宋_GB2312" w:cs="仿宋_GB2312"/>
          <w:color w:val="auto"/>
          <w:sz w:val="32"/>
          <w:szCs w:val="32"/>
          <w:highlight w:val="none"/>
          <w:lang w:val="en-US" w:eastAsia="zh-CN"/>
        </w:rPr>
        <w:t>省级棉花储备贴息项目、省级化肥储备贴息项目</w:t>
      </w:r>
      <w:r>
        <w:rPr>
          <w:rFonts w:hint="eastAsia" w:ascii="仿宋_GB2312" w:hAnsi="仿宋_GB2312" w:eastAsia="仿宋_GB2312" w:cs="仿宋_GB2312"/>
          <w:color w:val="auto"/>
          <w:sz w:val="32"/>
          <w:szCs w:val="32"/>
          <w:highlight w:val="none"/>
          <w:lang w:eastAsia="zh-CN"/>
        </w:rPr>
        <w:t>、四川省商贸学校农村电子商务“产学研”基地项目</w:t>
      </w:r>
      <w:r>
        <w:rPr>
          <w:rFonts w:hint="eastAsia" w:ascii="仿宋_GB2312" w:hAnsi="仿宋_GB2312" w:eastAsia="仿宋_GB2312" w:cs="仿宋_GB2312"/>
          <w:color w:val="auto"/>
          <w:sz w:val="32"/>
          <w:szCs w:val="32"/>
          <w:highlight w:val="none"/>
        </w:rPr>
        <w:t>开展了绩效评价，《202</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年省级供销综合改革及发展专项支出绩效自评报告》（附件2）</w:t>
      </w:r>
      <w:r>
        <w:rPr>
          <w:rFonts w:hint="eastAsia" w:ascii="仿宋_GB2312" w:hAnsi="仿宋_GB2312" w:eastAsia="仿宋_GB2312" w:cs="仿宋_GB2312"/>
          <w:color w:val="auto"/>
          <w:sz w:val="32"/>
          <w:szCs w:val="32"/>
          <w:highlight w:val="none"/>
          <w:lang w:eastAsia="zh-CN"/>
        </w:rPr>
        <w:t>，</w:t>
      </w:r>
      <w:bookmarkStart w:id="85" w:name="_GoBack"/>
      <w:bookmarkEnd w:id="85"/>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年部门预算项目支出绩效自评报告》（附件3）</w:t>
      </w:r>
    </w:p>
    <w:p>
      <w:pPr>
        <w:pStyle w:val="2"/>
        <w:rPr>
          <w:rFonts w:hint="eastAsia" w:ascii="仿宋_GB2312" w:hAnsi="仿宋_GB2312" w:eastAsia="仿宋_GB2312" w:cs="仿宋_GB2312"/>
          <w:color w:val="FF0000"/>
          <w:sz w:val="32"/>
          <w:szCs w:val="32"/>
        </w:rPr>
      </w:pPr>
    </w:p>
    <w:p>
      <w:pPr>
        <w:pageBreakBefore w:val="0"/>
        <w:numPr>
          <w:ilvl w:val="0"/>
          <w:numId w:val="0"/>
        </w:numPr>
        <w:kinsoku/>
        <w:wordWrap/>
        <w:overflowPunct/>
        <w:topLinePunct w:val="0"/>
        <w:bidi w:val="0"/>
        <w:spacing w:line="580" w:lineRule="exact"/>
        <w:jc w:val="center"/>
        <w:textAlignment w:val="auto"/>
        <w:outlineLvl w:val="0"/>
        <w:rPr>
          <w:rFonts w:hint="eastAsia" w:ascii="黑体" w:hAnsi="黑体" w:eastAsia="黑体"/>
          <w:color w:val="000000"/>
          <w:sz w:val="44"/>
          <w:szCs w:val="44"/>
          <w:lang w:val="en-US" w:eastAsia="zh-CN"/>
        </w:rPr>
      </w:pPr>
    </w:p>
    <w:p>
      <w:pPr>
        <w:keepNext w:val="0"/>
        <w:keepLines w:val="0"/>
        <w:pageBreakBefore w:val="0"/>
        <w:widowControl w:val="0"/>
        <w:numPr>
          <w:ilvl w:val="0"/>
          <w:numId w:val="0"/>
        </w:numPr>
        <w:kinsoku/>
        <w:wordWrap/>
        <w:overflowPunct/>
        <w:topLinePunct w:val="0"/>
        <w:bidi w:val="0"/>
        <w:adjustRightInd w:val="0"/>
        <w:snapToGrid w:val="0"/>
        <w:spacing w:line="580" w:lineRule="exact"/>
        <w:jc w:val="center"/>
        <w:textAlignment w:val="auto"/>
        <w:outlineLvl w:val="0"/>
        <w:rPr>
          <w:rFonts w:hint="eastAsia" w:ascii="黑体" w:hAnsi="黑体" w:eastAsia="黑体"/>
          <w:color w:val="000000"/>
          <w:sz w:val="44"/>
          <w:szCs w:val="44"/>
          <w:lang w:val="en-US" w:eastAsia="zh-CN"/>
        </w:rPr>
      </w:pPr>
    </w:p>
    <w:p>
      <w:pPr>
        <w:keepNext w:val="0"/>
        <w:keepLines w:val="0"/>
        <w:pageBreakBefore w:val="0"/>
        <w:widowControl w:val="0"/>
        <w:numPr>
          <w:ilvl w:val="0"/>
          <w:numId w:val="0"/>
        </w:numPr>
        <w:kinsoku/>
        <w:wordWrap/>
        <w:overflowPunct/>
        <w:topLinePunct w:val="0"/>
        <w:bidi w:val="0"/>
        <w:adjustRightInd w:val="0"/>
        <w:snapToGrid w:val="0"/>
        <w:spacing w:line="580" w:lineRule="exact"/>
        <w:jc w:val="center"/>
        <w:textAlignment w:val="auto"/>
        <w:outlineLvl w:val="0"/>
        <w:rPr>
          <w:rStyle w:val="27"/>
          <w:rFonts w:ascii="黑体" w:hAnsi="黑体" w:eastAsia="黑体"/>
          <w:b w:val="0"/>
          <w:sz w:val="44"/>
          <w:szCs w:val="44"/>
        </w:rPr>
      </w:pPr>
      <w:r>
        <w:rPr>
          <w:rFonts w:hint="eastAsia" w:ascii="黑体" w:hAnsi="黑体" w:eastAsia="黑体"/>
          <w:color w:val="000000"/>
          <w:sz w:val="44"/>
          <w:szCs w:val="44"/>
          <w:lang w:val="en-US" w:eastAsia="zh-CN"/>
        </w:rPr>
        <w:t xml:space="preserve">第三部分 </w:t>
      </w:r>
      <w:r>
        <w:rPr>
          <w:rFonts w:hint="eastAsia" w:ascii="黑体" w:hAnsi="黑体" w:eastAsia="黑体"/>
          <w:color w:val="000000"/>
          <w:sz w:val="44"/>
          <w:szCs w:val="44"/>
        </w:rPr>
        <w:t>名</w:t>
      </w:r>
      <w:r>
        <w:rPr>
          <w:rStyle w:val="27"/>
          <w:rFonts w:hint="eastAsia" w:ascii="黑体" w:hAnsi="黑体" w:eastAsia="黑体"/>
          <w:b w:val="0"/>
          <w:sz w:val="44"/>
          <w:szCs w:val="44"/>
        </w:rPr>
        <w:t>词解释</w:t>
      </w:r>
      <w:bookmarkEnd w:id="67"/>
      <w:bookmarkEnd w:id="68"/>
    </w:p>
    <w:p>
      <w:pPr>
        <w:keepNext w:val="0"/>
        <w:keepLines w:val="0"/>
        <w:pageBreakBefore w:val="0"/>
        <w:widowControl w:val="0"/>
        <w:kinsoku/>
        <w:wordWrap/>
        <w:overflowPunct/>
        <w:topLinePunct w:val="0"/>
        <w:bidi w:val="0"/>
        <w:adjustRightInd w:val="0"/>
        <w:snapToGrid w:val="0"/>
        <w:spacing w:line="580" w:lineRule="exact"/>
        <w:jc w:val="left"/>
        <w:textAlignment w:val="auto"/>
        <w:rPr>
          <w:rFonts w:ascii="宋体"/>
          <w:b/>
          <w:color w:val="000000"/>
          <w:sz w:val="30"/>
          <w:szCs w:val="30"/>
        </w:rPr>
      </w:pPr>
    </w:p>
    <w:p>
      <w:pPr>
        <w:pStyle w:val="25"/>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1.财政拨款收入：指单位从同级财政部门取得的财政预算资金。</w:t>
      </w:r>
    </w:p>
    <w:p>
      <w:pPr>
        <w:pStyle w:val="25"/>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2.事业收入：指事业单位开展专业业务活动及辅助活动取得的收入。如</w:t>
      </w:r>
      <w:r>
        <w:rPr>
          <w:rFonts w:hint="eastAsia" w:ascii="仿宋_GB2312" w:hAnsi="仿宋_GB2312" w:eastAsia="仿宋_GB2312" w:cs="仿宋_GB2312"/>
          <w:sz w:val="32"/>
          <w:szCs w:val="32"/>
          <w:lang w:val="en-US" w:eastAsia="zh-CN"/>
        </w:rPr>
        <w:t>直属学校收取教育收费</w:t>
      </w:r>
      <w:r>
        <w:rPr>
          <w:rFonts w:hint="eastAsia" w:ascii="仿宋_GB2312" w:hAnsi="仿宋_GB2312" w:eastAsia="仿宋_GB2312" w:cs="仿宋_GB2312"/>
          <w:sz w:val="32"/>
          <w:szCs w:val="32"/>
        </w:rPr>
        <w:t>等。</w:t>
      </w:r>
    </w:p>
    <w:p>
      <w:pPr>
        <w:pStyle w:val="25"/>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.其他收入：指单位取得的除上述收入以外的各项收入。</w:t>
      </w:r>
    </w:p>
    <w:p>
      <w:pPr>
        <w:pStyle w:val="25"/>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.年初结转和结余：指以前年度尚未完成、结转到本年按有关规定继续使用的资金。 </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color w:val="000000"/>
          <w:sz w:val="32"/>
          <w:szCs w:val="32"/>
        </w:rPr>
        <w:t>.一般公共服务支出（类）</w:t>
      </w:r>
      <w:r>
        <w:rPr>
          <w:rFonts w:hint="eastAsia" w:ascii="仿宋_GB2312" w:hAnsi="仿宋_GB2312" w:eastAsia="仿宋_GB2312" w:cs="仿宋_GB2312"/>
          <w:color w:val="000000"/>
          <w:sz w:val="32"/>
          <w:szCs w:val="32"/>
          <w:lang w:val="en-US" w:eastAsia="zh-CN"/>
        </w:rPr>
        <w:t>商贸事务</w:t>
      </w:r>
      <w:r>
        <w:rPr>
          <w:rFonts w:hint="eastAsia" w:ascii="仿宋_GB2312" w:hAnsi="仿宋_GB2312" w:eastAsia="仿宋_GB2312" w:cs="仿宋_GB2312"/>
          <w:color w:val="000000"/>
          <w:sz w:val="32"/>
          <w:szCs w:val="32"/>
        </w:rPr>
        <w:t>（款）</w:t>
      </w:r>
      <w:r>
        <w:rPr>
          <w:rFonts w:hint="eastAsia" w:ascii="仿宋_GB2312" w:hAnsi="仿宋_GB2312" w:eastAsia="仿宋_GB2312" w:cs="仿宋_GB2312"/>
          <w:color w:val="000000"/>
          <w:sz w:val="32"/>
          <w:szCs w:val="32"/>
          <w:lang w:val="en-US" w:eastAsia="zh-CN"/>
        </w:rPr>
        <w:t>行政运行</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color w:val="000000"/>
          <w:sz w:val="32"/>
          <w:szCs w:val="32"/>
          <w:lang w:val="en-US" w:eastAsia="zh-CN"/>
        </w:rPr>
        <w:t>指行政单位（包括实行公务员管理的事业单位）的基本</w:t>
      </w:r>
      <w:r>
        <w:rPr>
          <w:rFonts w:hint="eastAsia" w:ascii="仿宋_GB2312" w:hAnsi="仿宋_GB2312" w:eastAsia="仿宋_GB2312" w:cs="仿宋_GB2312"/>
          <w:color w:val="000000"/>
          <w:sz w:val="32"/>
          <w:szCs w:val="32"/>
        </w:rPr>
        <w:t>支出。</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color w:val="000000"/>
          <w:sz w:val="32"/>
          <w:szCs w:val="32"/>
        </w:rPr>
        <w:t>.一般公共服务支出（类）其他一般公共服务支出（款）其他一般公共服务支出（项）：</w:t>
      </w:r>
      <w:r>
        <w:rPr>
          <w:rFonts w:hint="eastAsia" w:ascii="仿宋_GB2312" w:hAnsi="仿宋_GB2312" w:eastAsia="仿宋_GB2312" w:cs="仿宋_GB2312"/>
          <w:color w:val="000000"/>
          <w:sz w:val="32"/>
          <w:szCs w:val="32"/>
          <w:lang w:val="en-US" w:eastAsia="zh-CN"/>
        </w:rPr>
        <w:t>指</w:t>
      </w:r>
      <w:r>
        <w:rPr>
          <w:rFonts w:hint="eastAsia" w:ascii="仿宋_GB2312" w:hAnsi="仿宋_GB2312" w:eastAsia="仿宋_GB2312" w:cs="仿宋_GB2312"/>
          <w:color w:val="000000"/>
          <w:sz w:val="32"/>
          <w:szCs w:val="32"/>
        </w:rPr>
        <w:t>除上述项目</w:t>
      </w:r>
      <w:r>
        <w:rPr>
          <w:rFonts w:hint="eastAsia" w:ascii="仿宋_GB2312" w:hAnsi="仿宋_GB2312" w:eastAsia="仿宋_GB2312" w:cs="仿宋_GB2312"/>
          <w:color w:val="000000"/>
          <w:sz w:val="32"/>
          <w:szCs w:val="32"/>
          <w:lang w:val="en-US" w:eastAsia="zh-CN"/>
        </w:rPr>
        <w:t>以</w:t>
      </w:r>
      <w:r>
        <w:rPr>
          <w:rFonts w:hint="eastAsia" w:ascii="仿宋_GB2312" w:hAnsi="仿宋_GB2312" w:eastAsia="仿宋_GB2312" w:cs="仿宋_GB2312"/>
          <w:color w:val="000000"/>
          <w:sz w:val="32"/>
          <w:szCs w:val="32"/>
        </w:rPr>
        <w:t>外的其他一般公共服务支出。</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.教育支出（类）职业教育（款）</w:t>
      </w:r>
      <w:r>
        <w:rPr>
          <w:rFonts w:hint="eastAsia" w:ascii="仿宋_GB2312" w:hAnsi="仿宋_GB2312" w:eastAsia="仿宋_GB2312" w:cs="仿宋_GB2312"/>
          <w:color w:val="000000"/>
          <w:sz w:val="32"/>
          <w:szCs w:val="32"/>
          <w:lang w:val="en-US" w:eastAsia="zh-CN"/>
        </w:rPr>
        <w:t>中等职业</w:t>
      </w:r>
      <w:r>
        <w:rPr>
          <w:rFonts w:hint="eastAsia" w:ascii="仿宋_GB2312" w:hAnsi="仿宋_GB2312" w:eastAsia="仿宋_GB2312" w:cs="仿宋_GB2312"/>
          <w:color w:val="000000"/>
          <w:sz w:val="32"/>
          <w:szCs w:val="32"/>
        </w:rPr>
        <w:t>教育（项）：</w:t>
      </w:r>
      <w:r>
        <w:rPr>
          <w:rFonts w:hint="eastAsia" w:ascii="仿宋_GB2312" w:hAnsi="仿宋_GB2312" w:eastAsia="仿宋_GB2312" w:cs="仿宋_GB2312"/>
          <w:color w:val="000000"/>
          <w:sz w:val="32"/>
          <w:szCs w:val="32"/>
          <w:lang w:val="en-US" w:eastAsia="zh-CN"/>
        </w:rPr>
        <w:t>指</w:t>
      </w:r>
      <w:r>
        <w:rPr>
          <w:rFonts w:hint="eastAsia" w:ascii="仿宋_GB2312" w:hAnsi="仿宋_GB2312" w:eastAsia="仿宋_GB2312" w:cs="仿宋_GB2312"/>
          <w:color w:val="000000"/>
          <w:sz w:val="32"/>
          <w:szCs w:val="32"/>
        </w:rPr>
        <w:t>各部门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不含人力资源社会保障部门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举办的中等</w:t>
      </w:r>
      <w:r>
        <w:rPr>
          <w:rFonts w:hint="eastAsia" w:ascii="仿宋_GB2312" w:hAnsi="仿宋_GB2312" w:eastAsia="仿宋_GB2312" w:cs="仿宋_GB2312"/>
          <w:color w:val="000000"/>
          <w:sz w:val="32"/>
          <w:szCs w:val="32"/>
          <w:lang w:val="en-US" w:eastAsia="zh-CN"/>
        </w:rPr>
        <w:t>职业</w:t>
      </w:r>
      <w:r>
        <w:rPr>
          <w:rFonts w:hint="eastAsia" w:ascii="仿宋_GB2312" w:hAnsi="仿宋_GB2312" w:eastAsia="仿宋_GB2312" w:cs="仿宋_GB2312"/>
          <w:color w:val="000000"/>
          <w:sz w:val="32"/>
          <w:szCs w:val="32"/>
        </w:rPr>
        <w:t>学校支出。</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8.教育支出（类）职业教育（款）</w:t>
      </w:r>
      <w:r>
        <w:rPr>
          <w:rFonts w:hint="eastAsia" w:ascii="仿宋_GB2312" w:hAnsi="仿宋_GB2312" w:eastAsia="仿宋_GB2312" w:cs="仿宋_GB2312"/>
          <w:color w:val="000000"/>
          <w:sz w:val="32"/>
          <w:szCs w:val="32"/>
          <w:lang w:val="en-US" w:eastAsia="zh-CN"/>
        </w:rPr>
        <w:t>高等职业</w:t>
      </w:r>
      <w:r>
        <w:rPr>
          <w:rFonts w:hint="eastAsia" w:ascii="仿宋_GB2312" w:hAnsi="仿宋_GB2312" w:eastAsia="仿宋_GB2312" w:cs="仿宋_GB2312"/>
          <w:color w:val="000000"/>
          <w:sz w:val="32"/>
          <w:szCs w:val="32"/>
        </w:rPr>
        <w:t>教育（项）：</w:t>
      </w:r>
      <w:r>
        <w:rPr>
          <w:rFonts w:hint="eastAsia" w:ascii="仿宋_GB2312" w:hAnsi="仿宋_GB2312" w:eastAsia="仿宋_GB2312" w:cs="仿宋_GB2312"/>
          <w:color w:val="000000"/>
          <w:sz w:val="32"/>
          <w:szCs w:val="32"/>
          <w:lang w:val="en-US" w:eastAsia="zh-CN"/>
        </w:rPr>
        <w:t>指经国家批准设立的高等职业大学、专科职业教育等方面的</w:t>
      </w:r>
      <w:r>
        <w:rPr>
          <w:rFonts w:hint="eastAsia" w:ascii="仿宋_GB2312" w:hAnsi="仿宋_GB2312" w:eastAsia="仿宋_GB2312" w:cs="仿宋_GB2312"/>
          <w:color w:val="000000"/>
          <w:sz w:val="32"/>
          <w:szCs w:val="32"/>
        </w:rPr>
        <w:t>支出。</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9.教育支出（类）</w:t>
      </w:r>
      <w:r>
        <w:rPr>
          <w:rFonts w:hint="eastAsia" w:ascii="仿宋_GB2312" w:hAnsi="仿宋_GB2312" w:eastAsia="仿宋_GB2312" w:cs="仿宋_GB2312"/>
          <w:color w:val="000000"/>
          <w:sz w:val="32"/>
          <w:szCs w:val="32"/>
          <w:lang w:val="en-US" w:eastAsia="zh-CN"/>
        </w:rPr>
        <w:t>职业教育</w:t>
      </w:r>
      <w:r>
        <w:rPr>
          <w:rFonts w:hint="eastAsia" w:ascii="仿宋_GB2312" w:hAnsi="仿宋_GB2312" w:eastAsia="仿宋_GB2312" w:cs="仿宋_GB2312"/>
          <w:color w:val="000000"/>
          <w:sz w:val="32"/>
          <w:szCs w:val="32"/>
        </w:rPr>
        <w:t>（款）</w:t>
      </w:r>
      <w:r>
        <w:rPr>
          <w:rFonts w:hint="eastAsia" w:ascii="仿宋_GB2312" w:hAnsi="仿宋_GB2312" w:eastAsia="仿宋_GB2312" w:cs="仿宋_GB2312"/>
          <w:color w:val="000000"/>
          <w:sz w:val="32"/>
          <w:szCs w:val="32"/>
          <w:lang w:val="en-US" w:eastAsia="zh-CN"/>
        </w:rPr>
        <w:t>其他职业教育支出</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color w:val="000000"/>
          <w:sz w:val="32"/>
          <w:szCs w:val="32"/>
          <w:lang w:val="en-US" w:eastAsia="zh-CN"/>
        </w:rPr>
        <w:t>指</w:t>
      </w:r>
      <w:r>
        <w:rPr>
          <w:rFonts w:hint="eastAsia" w:ascii="仿宋_GB2312" w:hAnsi="仿宋_GB2312" w:eastAsia="仿宋_GB2312" w:cs="仿宋_GB2312"/>
          <w:color w:val="000000"/>
          <w:sz w:val="32"/>
          <w:szCs w:val="32"/>
        </w:rPr>
        <w:t>除上述项目</w:t>
      </w:r>
      <w:r>
        <w:rPr>
          <w:rFonts w:hint="eastAsia" w:ascii="仿宋_GB2312" w:hAnsi="仿宋_GB2312" w:eastAsia="仿宋_GB2312" w:cs="仿宋_GB2312"/>
          <w:color w:val="000000"/>
          <w:sz w:val="32"/>
          <w:szCs w:val="32"/>
          <w:lang w:val="en-US" w:eastAsia="zh-CN"/>
        </w:rPr>
        <w:t>以</w:t>
      </w:r>
      <w:r>
        <w:rPr>
          <w:rFonts w:hint="eastAsia" w:ascii="仿宋_GB2312" w:hAnsi="仿宋_GB2312" w:eastAsia="仿宋_GB2312" w:cs="仿宋_GB2312"/>
          <w:color w:val="000000"/>
          <w:sz w:val="32"/>
          <w:szCs w:val="32"/>
        </w:rPr>
        <w:t>外其他</w:t>
      </w:r>
      <w:r>
        <w:rPr>
          <w:rFonts w:hint="eastAsia" w:ascii="仿宋_GB2312" w:hAnsi="仿宋_GB2312" w:eastAsia="仿宋_GB2312" w:cs="仿宋_GB2312"/>
          <w:color w:val="000000"/>
          <w:sz w:val="32"/>
          <w:szCs w:val="32"/>
          <w:lang w:val="en-US" w:eastAsia="zh-CN"/>
        </w:rPr>
        <w:t>用于职业教育方面的</w:t>
      </w:r>
      <w:r>
        <w:rPr>
          <w:rFonts w:hint="eastAsia" w:ascii="仿宋_GB2312" w:hAnsi="仿宋_GB2312" w:eastAsia="仿宋_GB2312" w:cs="仿宋_GB2312"/>
          <w:color w:val="000000"/>
          <w:sz w:val="32"/>
          <w:szCs w:val="32"/>
        </w:rPr>
        <w:t>支出。</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.教育支出（类）进修及培训（款）培训支出（项）：</w:t>
      </w:r>
      <w:r>
        <w:rPr>
          <w:rFonts w:hint="eastAsia" w:ascii="仿宋_GB2312" w:hAnsi="仿宋_GB2312" w:eastAsia="仿宋_GB2312" w:cs="仿宋_GB2312"/>
          <w:color w:val="000000"/>
          <w:sz w:val="32"/>
          <w:szCs w:val="32"/>
          <w:lang w:val="en-US" w:eastAsia="zh-CN"/>
        </w:rPr>
        <w:t>指</w:t>
      </w:r>
      <w:r>
        <w:rPr>
          <w:rFonts w:hint="eastAsia" w:ascii="仿宋_GB2312" w:hAnsi="仿宋_GB2312" w:eastAsia="仿宋_GB2312" w:cs="仿宋_GB2312"/>
          <w:color w:val="000000"/>
          <w:sz w:val="32"/>
          <w:szCs w:val="32"/>
        </w:rPr>
        <w:t>各部门安排的用于培训的支出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教育部门的师资培训，党校、行政学院等专业干部教育机构的支出，</w:t>
      </w:r>
      <w:r>
        <w:rPr>
          <w:rFonts w:hint="eastAsia" w:ascii="仿宋_GB2312" w:hAnsi="仿宋_GB2312" w:eastAsia="仿宋_GB2312" w:cs="仿宋_GB2312"/>
          <w:color w:val="000000"/>
          <w:sz w:val="32"/>
          <w:szCs w:val="32"/>
          <w:lang w:val="en-US" w:eastAsia="zh-CN"/>
        </w:rPr>
        <w:t>以及</w:t>
      </w:r>
      <w:r>
        <w:rPr>
          <w:rFonts w:hint="eastAsia" w:ascii="仿宋_GB2312" w:hAnsi="仿宋_GB2312" w:eastAsia="仿宋_GB2312" w:cs="仿宋_GB2312"/>
          <w:color w:val="000000"/>
          <w:sz w:val="32"/>
          <w:szCs w:val="32"/>
        </w:rPr>
        <w:t>退役士兵、转业士官的培训支出，不在本科目反映。</w:t>
      </w:r>
    </w:p>
    <w:p>
      <w:pPr>
        <w:pStyle w:val="2"/>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rPr>
      </w:pPr>
      <w:r>
        <w:rPr>
          <w:rFonts w:hint="eastAsia" w:ascii="仿宋_GB2312" w:hAnsi="仿宋_GB2312" w:eastAsia="仿宋_GB2312" w:cs="仿宋_GB2312"/>
          <w:color w:val="000000"/>
          <w:sz w:val="32"/>
          <w:szCs w:val="32"/>
          <w:lang w:val="en-US" w:eastAsia="zh-CN"/>
        </w:rPr>
        <w:t>1</w:t>
      </w:r>
      <w:r>
        <w:rPr>
          <w:rFonts w:hint="eastAsia" w:hAnsi="仿宋_GB2312" w:cs="仿宋_GB2312"/>
          <w:color w:val="000000"/>
          <w:sz w:val="32"/>
          <w:szCs w:val="32"/>
          <w:lang w:val="en-US" w:eastAsia="zh-CN"/>
        </w:rPr>
        <w:t>1</w:t>
      </w:r>
      <w:r>
        <w:rPr>
          <w:rFonts w:hint="eastAsia" w:ascii="仿宋_GB2312" w:hAnsi="仿宋_GB2312" w:eastAsia="仿宋_GB2312" w:cs="仿宋_GB2312"/>
          <w:color w:val="000000"/>
          <w:sz w:val="32"/>
          <w:szCs w:val="32"/>
        </w:rPr>
        <w:t>.教育支出（类）</w:t>
      </w:r>
      <w:r>
        <w:rPr>
          <w:rFonts w:hint="eastAsia" w:hAnsi="仿宋_GB2312" w:cs="仿宋_GB2312"/>
          <w:color w:val="000000"/>
          <w:sz w:val="32"/>
          <w:szCs w:val="32"/>
          <w:lang w:val="en-US" w:eastAsia="zh-CN"/>
        </w:rPr>
        <w:t>其他教育支出</w:t>
      </w:r>
      <w:r>
        <w:rPr>
          <w:rFonts w:hint="eastAsia" w:ascii="仿宋_GB2312" w:hAnsi="仿宋_GB2312" w:eastAsia="仿宋_GB2312" w:cs="仿宋_GB2312"/>
          <w:color w:val="000000"/>
          <w:sz w:val="32"/>
          <w:szCs w:val="32"/>
        </w:rPr>
        <w:t>（款）</w:t>
      </w:r>
      <w:r>
        <w:rPr>
          <w:rFonts w:hint="eastAsia" w:hAnsi="仿宋_GB2312" w:cs="仿宋_GB2312"/>
          <w:color w:val="000000"/>
          <w:sz w:val="32"/>
          <w:szCs w:val="32"/>
          <w:lang w:val="en-US" w:eastAsia="zh-CN"/>
        </w:rPr>
        <w:t>其他教育支出</w:t>
      </w:r>
      <w:r>
        <w:rPr>
          <w:rFonts w:hint="eastAsia" w:ascii="仿宋_GB2312" w:hAnsi="仿宋_GB2312" w:eastAsia="仿宋_GB2312" w:cs="仿宋_GB2312"/>
          <w:color w:val="000000"/>
          <w:sz w:val="32"/>
          <w:szCs w:val="32"/>
        </w:rPr>
        <w:t>（项）：</w:t>
      </w:r>
      <w:r>
        <w:rPr>
          <w:rFonts w:hint="eastAsia" w:ascii="仿宋_GB2312" w:hAnsi="仿宋_GB2312" w:eastAsia="仿宋_GB2312" w:cs="仿宋_GB2312"/>
          <w:color w:val="000000"/>
          <w:sz w:val="32"/>
          <w:szCs w:val="32"/>
          <w:lang w:val="en-US" w:eastAsia="zh-CN"/>
        </w:rPr>
        <w:t>指</w:t>
      </w:r>
      <w:r>
        <w:rPr>
          <w:rFonts w:hint="eastAsia" w:ascii="仿宋_GB2312" w:hAnsi="仿宋_GB2312" w:eastAsia="仿宋_GB2312" w:cs="仿宋_GB2312"/>
          <w:color w:val="000000"/>
          <w:sz w:val="32"/>
          <w:szCs w:val="32"/>
        </w:rPr>
        <w:t>除上述项目</w:t>
      </w:r>
      <w:r>
        <w:rPr>
          <w:rFonts w:hint="eastAsia" w:ascii="仿宋_GB2312" w:hAnsi="仿宋_GB2312" w:eastAsia="仿宋_GB2312" w:cs="仿宋_GB2312"/>
          <w:color w:val="000000"/>
          <w:sz w:val="32"/>
          <w:szCs w:val="32"/>
          <w:lang w:val="en-US" w:eastAsia="zh-CN"/>
        </w:rPr>
        <w:t>以</w:t>
      </w:r>
      <w:r>
        <w:rPr>
          <w:rFonts w:hint="eastAsia" w:ascii="仿宋_GB2312" w:hAnsi="仿宋_GB2312" w:eastAsia="仿宋_GB2312" w:cs="仿宋_GB2312"/>
          <w:color w:val="000000"/>
          <w:sz w:val="32"/>
          <w:szCs w:val="32"/>
        </w:rPr>
        <w:t>外其他</w:t>
      </w:r>
      <w:r>
        <w:rPr>
          <w:rFonts w:hint="eastAsia" w:ascii="仿宋_GB2312" w:hAnsi="仿宋_GB2312" w:eastAsia="仿宋_GB2312" w:cs="仿宋_GB2312"/>
          <w:color w:val="000000"/>
          <w:sz w:val="32"/>
          <w:szCs w:val="32"/>
          <w:lang w:val="en-US" w:eastAsia="zh-CN"/>
        </w:rPr>
        <w:t>用于教育方面的</w:t>
      </w:r>
      <w:r>
        <w:rPr>
          <w:rFonts w:hint="eastAsia" w:ascii="仿宋_GB2312" w:hAnsi="仿宋_GB2312" w:eastAsia="仿宋_GB2312" w:cs="仿宋_GB2312"/>
          <w:color w:val="000000"/>
          <w:sz w:val="32"/>
          <w:szCs w:val="32"/>
        </w:rPr>
        <w:t>支出。</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.社会保障和就业</w:t>
      </w:r>
      <w:r>
        <w:rPr>
          <w:rFonts w:hint="eastAsia" w:ascii="仿宋_GB2312" w:hAnsi="仿宋_GB2312" w:eastAsia="仿宋_GB2312" w:cs="仿宋_GB2312"/>
          <w:color w:val="000000"/>
          <w:sz w:val="32"/>
          <w:szCs w:val="32"/>
          <w:lang w:val="en-US" w:eastAsia="zh-CN"/>
        </w:rPr>
        <w:t>支出</w:t>
      </w:r>
      <w:r>
        <w:rPr>
          <w:rFonts w:hint="eastAsia" w:ascii="仿宋_GB2312" w:hAnsi="仿宋_GB2312" w:eastAsia="仿宋_GB2312" w:cs="仿宋_GB2312"/>
          <w:color w:val="000000"/>
          <w:sz w:val="32"/>
          <w:szCs w:val="32"/>
        </w:rPr>
        <w:t>（类）</w:t>
      </w:r>
      <w:r>
        <w:rPr>
          <w:rFonts w:hint="eastAsia" w:ascii="仿宋_GB2312" w:hAnsi="仿宋_GB2312" w:eastAsia="仿宋_GB2312" w:cs="仿宋_GB2312"/>
          <w:color w:val="000000"/>
          <w:sz w:val="32"/>
          <w:szCs w:val="32"/>
          <w:lang w:val="en-US" w:eastAsia="zh-CN"/>
        </w:rPr>
        <w:t>行政事业单位养老支出</w:t>
      </w:r>
      <w:r>
        <w:rPr>
          <w:rFonts w:hint="eastAsia" w:ascii="仿宋_GB2312" w:hAnsi="仿宋_GB2312" w:eastAsia="仿宋_GB2312" w:cs="仿宋_GB2312"/>
          <w:color w:val="000000"/>
          <w:sz w:val="32"/>
          <w:szCs w:val="32"/>
        </w:rPr>
        <w:t>（款）</w:t>
      </w:r>
      <w:r>
        <w:rPr>
          <w:rFonts w:hint="eastAsia" w:ascii="仿宋_GB2312" w:hAnsi="仿宋_GB2312" w:eastAsia="仿宋_GB2312" w:cs="仿宋_GB2312"/>
          <w:color w:val="000000"/>
          <w:sz w:val="32"/>
          <w:szCs w:val="32"/>
          <w:lang w:val="en-US" w:eastAsia="zh-CN"/>
        </w:rPr>
        <w:t>行政单位离退休</w:t>
      </w:r>
      <w:r>
        <w:rPr>
          <w:rFonts w:hint="eastAsia" w:ascii="仿宋_GB2312" w:hAnsi="仿宋_GB2312" w:eastAsia="仿宋_GB2312" w:cs="仿宋_GB2312"/>
          <w:color w:val="000000"/>
          <w:sz w:val="32"/>
          <w:szCs w:val="32"/>
        </w:rPr>
        <w:t>（项）：指</w:t>
      </w:r>
      <w:r>
        <w:rPr>
          <w:rFonts w:hint="eastAsia" w:ascii="仿宋_GB2312" w:hAnsi="仿宋_GB2312" w:eastAsia="仿宋_GB2312" w:cs="仿宋_GB2312"/>
          <w:color w:val="000000"/>
          <w:sz w:val="32"/>
          <w:szCs w:val="32"/>
          <w:lang w:val="en-US" w:eastAsia="zh-CN"/>
        </w:rPr>
        <w:t>行政单位（包括实行公务员管理的事业单位）</w:t>
      </w:r>
      <w:r>
        <w:rPr>
          <w:rFonts w:hint="eastAsia" w:ascii="仿宋_GB2312" w:hAnsi="仿宋_GB2312" w:eastAsia="仿宋_GB2312" w:cs="仿宋_GB2312"/>
          <w:color w:val="000000"/>
          <w:sz w:val="32"/>
          <w:szCs w:val="32"/>
        </w:rPr>
        <w:t>开支的离退休经费。</w:t>
      </w:r>
    </w:p>
    <w:p>
      <w:pPr>
        <w:pStyle w:val="2"/>
        <w:keepNext w:val="0"/>
        <w:keepLines w:val="0"/>
        <w:pageBreakBefore w:val="0"/>
        <w:widowControl w:val="0"/>
        <w:kinsoku/>
        <w:wordWrap/>
        <w:overflowPunct/>
        <w:topLinePunct w:val="0"/>
        <w:bidi w:val="0"/>
        <w:adjustRightInd w:val="0"/>
        <w:snapToGrid w:val="0"/>
        <w:spacing w:line="580" w:lineRule="exact"/>
        <w:ind w:firstLine="640"/>
        <w:textAlignment w:val="auto"/>
        <w:rPr>
          <w:rFonts w:hint="eastAsia" w:ascii="仿宋_GB2312" w:hAnsi="仿宋_GB2312" w:eastAsia="仿宋_GB2312" w:cs="仿宋_GB2312"/>
          <w:color w:val="000000"/>
          <w:sz w:val="32"/>
          <w:szCs w:val="32"/>
        </w:rPr>
      </w:pPr>
      <w:r>
        <w:rPr>
          <w:rFonts w:hint="eastAsia" w:hAnsi="仿宋_GB2312" w:cs="仿宋_GB2312"/>
          <w:color w:val="000000"/>
          <w:sz w:val="32"/>
          <w:szCs w:val="32"/>
          <w:lang w:val="en-US" w:eastAsia="zh-CN"/>
        </w:rPr>
        <w:t>13</w:t>
      </w:r>
      <w:r>
        <w:rPr>
          <w:rFonts w:hint="eastAsia" w:ascii="仿宋_GB2312" w:hAnsi="仿宋_GB2312" w:eastAsia="仿宋_GB2312" w:cs="仿宋_GB2312"/>
          <w:color w:val="000000"/>
          <w:sz w:val="32"/>
          <w:szCs w:val="32"/>
        </w:rPr>
        <w:t>.社会保障和就业</w:t>
      </w:r>
      <w:r>
        <w:rPr>
          <w:rFonts w:hint="eastAsia" w:ascii="仿宋_GB2312" w:hAnsi="仿宋_GB2312" w:eastAsia="仿宋_GB2312" w:cs="仿宋_GB2312"/>
          <w:color w:val="000000"/>
          <w:sz w:val="32"/>
          <w:szCs w:val="32"/>
          <w:lang w:val="en-US" w:eastAsia="zh-CN"/>
        </w:rPr>
        <w:t>支出</w:t>
      </w:r>
      <w:r>
        <w:rPr>
          <w:rFonts w:hint="eastAsia" w:ascii="仿宋_GB2312" w:hAnsi="仿宋_GB2312" w:eastAsia="仿宋_GB2312" w:cs="仿宋_GB2312"/>
          <w:color w:val="000000"/>
          <w:sz w:val="32"/>
          <w:szCs w:val="32"/>
        </w:rPr>
        <w:t>（类）</w:t>
      </w:r>
      <w:r>
        <w:rPr>
          <w:rFonts w:hint="eastAsia" w:ascii="仿宋_GB2312" w:hAnsi="仿宋_GB2312" w:eastAsia="仿宋_GB2312" w:cs="仿宋_GB2312"/>
          <w:color w:val="000000"/>
          <w:sz w:val="32"/>
          <w:szCs w:val="32"/>
          <w:lang w:val="en-US" w:eastAsia="zh-CN"/>
        </w:rPr>
        <w:t>行政事业单位养老支出</w:t>
      </w:r>
      <w:r>
        <w:rPr>
          <w:rFonts w:hint="eastAsia" w:ascii="仿宋_GB2312" w:hAnsi="仿宋_GB2312" w:eastAsia="仿宋_GB2312" w:cs="仿宋_GB2312"/>
          <w:color w:val="000000"/>
          <w:sz w:val="32"/>
          <w:szCs w:val="32"/>
        </w:rPr>
        <w:t>（款）</w:t>
      </w:r>
      <w:r>
        <w:rPr>
          <w:rFonts w:hint="eastAsia" w:hAnsi="仿宋_GB2312" w:cs="仿宋_GB2312"/>
          <w:color w:val="000000"/>
          <w:sz w:val="32"/>
          <w:szCs w:val="32"/>
          <w:lang w:val="en-US" w:eastAsia="zh-CN"/>
        </w:rPr>
        <w:t>事业</w:t>
      </w:r>
      <w:r>
        <w:rPr>
          <w:rFonts w:hint="eastAsia" w:ascii="仿宋_GB2312" w:hAnsi="仿宋_GB2312" w:eastAsia="仿宋_GB2312" w:cs="仿宋_GB2312"/>
          <w:color w:val="000000"/>
          <w:sz w:val="32"/>
          <w:szCs w:val="32"/>
          <w:lang w:val="en-US" w:eastAsia="zh-CN"/>
        </w:rPr>
        <w:t>单位离退休</w:t>
      </w:r>
      <w:r>
        <w:rPr>
          <w:rFonts w:hint="eastAsia" w:ascii="仿宋_GB2312" w:hAnsi="仿宋_GB2312" w:eastAsia="仿宋_GB2312" w:cs="仿宋_GB2312"/>
          <w:color w:val="000000"/>
          <w:sz w:val="32"/>
          <w:szCs w:val="32"/>
        </w:rPr>
        <w:t>（项）：指</w:t>
      </w:r>
      <w:r>
        <w:rPr>
          <w:rFonts w:hint="eastAsia" w:ascii="仿宋_GB2312" w:hAnsi="仿宋_GB2312" w:eastAsia="仿宋_GB2312" w:cs="仿宋_GB2312"/>
          <w:color w:val="000000"/>
          <w:sz w:val="32"/>
          <w:szCs w:val="32"/>
          <w:lang w:val="en-US" w:eastAsia="zh-CN"/>
        </w:rPr>
        <w:t>事业单位</w:t>
      </w:r>
      <w:r>
        <w:rPr>
          <w:rFonts w:hint="eastAsia" w:ascii="仿宋_GB2312" w:hAnsi="仿宋_GB2312" w:eastAsia="仿宋_GB2312" w:cs="仿宋_GB2312"/>
          <w:color w:val="000000"/>
          <w:sz w:val="32"/>
          <w:szCs w:val="32"/>
        </w:rPr>
        <w:t>开支的离退休经费。</w:t>
      </w:r>
    </w:p>
    <w:p>
      <w:pPr>
        <w:pStyle w:val="2"/>
        <w:keepNext w:val="0"/>
        <w:keepLines w:val="0"/>
        <w:pageBreakBefore w:val="0"/>
        <w:widowControl w:val="0"/>
        <w:kinsoku/>
        <w:wordWrap/>
        <w:overflowPunct/>
        <w:topLinePunct w:val="0"/>
        <w:bidi w:val="0"/>
        <w:adjustRightInd w:val="0"/>
        <w:snapToGrid w:val="0"/>
        <w:spacing w:line="580" w:lineRule="exact"/>
        <w:ind w:firstLine="640"/>
        <w:textAlignment w:val="auto"/>
        <w:rPr>
          <w:rFonts w:hint="eastAsia" w:ascii="仿宋_GB2312" w:hAnsi="仿宋_GB2312" w:eastAsia="仿宋_GB2312" w:cs="仿宋_GB2312"/>
          <w:color w:val="000000"/>
          <w:sz w:val="32"/>
          <w:szCs w:val="32"/>
        </w:rPr>
      </w:pPr>
      <w:r>
        <w:rPr>
          <w:rFonts w:hint="eastAsia" w:hAnsi="仿宋_GB2312" w:cs="仿宋_GB2312"/>
          <w:color w:val="000000"/>
          <w:sz w:val="32"/>
          <w:szCs w:val="32"/>
          <w:lang w:val="en-US" w:eastAsia="zh-CN"/>
        </w:rPr>
        <w:t>14</w:t>
      </w:r>
      <w:r>
        <w:rPr>
          <w:rFonts w:hint="eastAsia" w:ascii="仿宋_GB2312" w:hAnsi="仿宋_GB2312" w:eastAsia="仿宋_GB2312" w:cs="仿宋_GB2312"/>
          <w:color w:val="000000"/>
          <w:sz w:val="32"/>
          <w:szCs w:val="32"/>
        </w:rPr>
        <w:t>.社会保障和就业</w:t>
      </w:r>
      <w:r>
        <w:rPr>
          <w:rFonts w:hint="eastAsia" w:ascii="仿宋_GB2312" w:hAnsi="仿宋_GB2312" w:eastAsia="仿宋_GB2312" w:cs="仿宋_GB2312"/>
          <w:color w:val="000000"/>
          <w:sz w:val="32"/>
          <w:szCs w:val="32"/>
          <w:lang w:val="en-US" w:eastAsia="zh-CN"/>
        </w:rPr>
        <w:t>支出</w:t>
      </w:r>
      <w:r>
        <w:rPr>
          <w:rFonts w:hint="eastAsia" w:ascii="仿宋_GB2312" w:hAnsi="仿宋_GB2312" w:eastAsia="仿宋_GB2312" w:cs="仿宋_GB2312"/>
          <w:color w:val="000000"/>
          <w:sz w:val="32"/>
          <w:szCs w:val="32"/>
        </w:rPr>
        <w:t>（类）</w:t>
      </w:r>
      <w:r>
        <w:rPr>
          <w:rFonts w:hint="eastAsia" w:ascii="仿宋_GB2312" w:hAnsi="仿宋_GB2312" w:eastAsia="仿宋_GB2312" w:cs="仿宋_GB2312"/>
          <w:color w:val="000000"/>
          <w:sz w:val="32"/>
          <w:szCs w:val="32"/>
          <w:lang w:val="en-US" w:eastAsia="zh-CN"/>
        </w:rPr>
        <w:t>行政事业单位养老支出</w:t>
      </w:r>
      <w:r>
        <w:rPr>
          <w:rFonts w:hint="eastAsia" w:ascii="仿宋_GB2312" w:hAnsi="仿宋_GB2312" w:eastAsia="仿宋_GB2312" w:cs="仿宋_GB2312"/>
          <w:color w:val="000000"/>
          <w:sz w:val="32"/>
          <w:szCs w:val="32"/>
        </w:rPr>
        <w:t>（款）机关事业单位基本养老保险缴费支出（项）：指</w:t>
      </w:r>
      <w:r>
        <w:rPr>
          <w:rFonts w:hint="eastAsia" w:hAnsi="仿宋_GB2312" w:cs="仿宋_GB2312"/>
          <w:color w:val="000000"/>
          <w:sz w:val="32"/>
          <w:szCs w:val="32"/>
          <w:lang w:val="en-US" w:eastAsia="zh-CN"/>
        </w:rPr>
        <w:t>机关事业单位实施养老保险制度由单位缴纳的基本养老保险支出</w:t>
      </w:r>
      <w:r>
        <w:rPr>
          <w:rFonts w:hint="eastAsia" w:ascii="仿宋_GB2312" w:hAnsi="仿宋_GB2312" w:eastAsia="仿宋_GB2312" w:cs="仿宋_GB2312"/>
          <w:color w:val="000000"/>
          <w:sz w:val="32"/>
          <w:szCs w:val="32"/>
        </w:rPr>
        <w:t xml:space="preserve">。  </w:t>
      </w:r>
    </w:p>
    <w:p>
      <w:pPr>
        <w:pStyle w:val="2"/>
        <w:keepNext w:val="0"/>
        <w:keepLines w:val="0"/>
        <w:pageBreakBefore w:val="0"/>
        <w:widowControl w:val="0"/>
        <w:kinsoku/>
        <w:wordWrap/>
        <w:overflowPunct/>
        <w:topLinePunct w:val="0"/>
        <w:bidi w:val="0"/>
        <w:adjustRightInd w:val="0"/>
        <w:snapToGrid w:val="0"/>
        <w:spacing w:line="580" w:lineRule="exact"/>
        <w:ind w:firstLine="640"/>
        <w:textAlignment w:val="auto"/>
        <w:rPr>
          <w:rFonts w:hint="eastAsia" w:ascii="仿宋_GB2312" w:hAnsi="仿宋_GB2312" w:eastAsia="仿宋_GB2312" w:cs="仿宋_GB2312"/>
          <w:color w:val="000000"/>
          <w:sz w:val="32"/>
          <w:szCs w:val="32"/>
        </w:rPr>
      </w:pPr>
      <w:r>
        <w:rPr>
          <w:rFonts w:hint="eastAsia" w:hAnsi="仿宋_GB2312" w:cs="仿宋_GB2312"/>
          <w:color w:val="000000"/>
          <w:sz w:val="32"/>
          <w:szCs w:val="32"/>
          <w:lang w:val="en-US" w:eastAsia="zh-CN"/>
        </w:rPr>
        <w:t>15</w:t>
      </w:r>
      <w:r>
        <w:rPr>
          <w:rFonts w:hint="eastAsia" w:ascii="仿宋_GB2312" w:hAnsi="仿宋_GB2312" w:eastAsia="仿宋_GB2312" w:cs="仿宋_GB2312"/>
          <w:color w:val="000000"/>
          <w:sz w:val="32"/>
          <w:szCs w:val="32"/>
        </w:rPr>
        <w:t>.社会保障和就业</w:t>
      </w:r>
      <w:r>
        <w:rPr>
          <w:rFonts w:hint="eastAsia" w:ascii="仿宋_GB2312" w:hAnsi="仿宋_GB2312" w:eastAsia="仿宋_GB2312" w:cs="仿宋_GB2312"/>
          <w:color w:val="000000"/>
          <w:sz w:val="32"/>
          <w:szCs w:val="32"/>
          <w:lang w:val="en-US" w:eastAsia="zh-CN"/>
        </w:rPr>
        <w:t>支出</w:t>
      </w:r>
      <w:r>
        <w:rPr>
          <w:rFonts w:hint="eastAsia" w:ascii="仿宋_GB2312" w:hAnsi="仿宋_GB2312" w:eastAsia="仿宋_GB2312" w:cs="仿宋_GB2312"/>
          <w:color w:val="000000"/>
          <w:sz w:val="32"/>
          <w:szCs w:val="32"/>
        </w:rPr>
        <w:t>（类）</w:t>
      </w:r>
      <w:r>
        <w:rPr>
          <w:rFonts w:hint="eastAsia" w:ascii="仿宋_GB2312" w:hAnsi="仿宋_GB2312" w:eastAsia="仿宋_GB2312" w:cs="仿宋_GB2312"/>
          <w:color w:val="000000"/>
          <w:sz w:val="32"/>
          <w:szCs w:val="32"/>
          <w:lang w:val="en-US" w:eastAsia="zh-CN"/>
        </w:rPr>
        <w:t>行政事业单位养老支出</w:t>
      </w:r>
      <w:r>
        <w:rPr>
          <w:rFonts w:hint="eastAsia" w:ascii="仿宋_GB2312" w:hAnsi="仿宋_GB2312" w:eastAsia="仿宋_GB2312" w:cs="仿宋_GB2312"/>
          <w:color w:val="000000"/>
          <w:sz w:val="32"/>
          <w:szCs w:val="32"/>
        </w:rPr>
        <w:t>（款）机关事业单位</w:t>
      </w:r>
      <w:r>
        <w:rPr>
          <w:rFonts w:hint="eastAsia" w:hAnsi="仿宋_GB2312" w:cs="仿宋_GB2312"/>
          <w:color w:val="000000"/>
          <w:sz w:val="32"/>
          <w:szCs w:val="32"/>
          <w:lang w:val="en-US" w:eastAsia="zh-CN"/>
        </w:rPr>
        <w:t>职业年金缴费支出</w:t>
      </w:r>
      <w:r>
        <w:rPr>
          <w:rFonts w:hint="eastAsia" w:ascii="仿宋_GB2312" w:hAnsi="仿宋_GB2312" w:eastAsia="仿宋_GB2312" w:cs="仿宋_GB2312"/>
          <w:color w:val="000000"/>
          <w:sz w:val="32"/>
          <w:szCs w:val="32"/>
        </w:rPr>
        <w:t>（项）：指</w:t>
      </w:r>
      <w:r>
        <w:rPr>
          <w:rFonts w:hint="eastAsia" w:hAnsi="仿宋_GB2312" w:cs="仿宋_GB2312"/>
          <w:color w:val="000000"/>
          <w:sz w:val="32"/>
          <w:szCs w:val="32"/>
          <w:lang w:val="en-US" w:eastAsia="zh-CN"/>
        </w:rPr>
        <w:t>机关事业单位实施养老保险制度由单位实际缴纳的职业年金支出</w:t>
      </w: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16.社会保障和就业支出（类）抚恤（款）死亡抚恤（项）：</w:t>
      </w:r>
      <w:r>
        <w:rPr>
          <w:rFonts w:hint="eastAsia" w:ascii="仿宋_GB2312" w:hAnsi="仿宋_GB2312" w:eastAsia="仿宋_GB2312" w:cs="仿宋_GB2312"/>
          <w:color w:val="000000"/>
          <w:sz w:val="32"/>
          <w:szCs w:val="32"/>
          <w:lang w:val="en-US" w:eastAsia="zh-CN"/>
        </w:rPr>
        <w:t>指</w:t>
      </w:r>
      <w:r>
        <w:rPr>
          <w:rFonts w:hint="eastAsia" w:ascii="仿宋_GB2312" w:hAnsi="仿宋_GB2312" w:eastAsia="仿宋_GB2312" w:cs="仿宋_GB2312"/>
          <w:color w:val="000000"/>
          <w:sz w:val="32"/>
          <w:szCs w:val="32"/>
        </w:rPr>
        <w:t>按规定用于烈士和牺牲、病故人员家属的一次性和定期抚恤金以及丧葬补助费。</w:t>
      </w:r>
    </w:p>
    <w:p>
      <w:pPr>
        <w:pStyle w:val="2"/>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sz w:val="32"/>
          <w:szCs w:val="32"/>
        </w:rPr>
      </w:pPr>
      <w:r>
        <w:rPr>
          <w:rFonts w:hint="eastAsia"/>
          <w:sz w:val="32"/>
          <w:szCs w:val="32"/>
          <w:lang w:val="en-US" w:eastAsia="zh-CN"/>
        </w:rPr>
        <w:t>17.</w:t>
      </w:r>
      <w:r>
        <w:rPr>
          <w:rFonts w:hint="eastAsia"/>
          <w:sz w:val="32"/>
          <w:szCs w:val="32"/>
        </w:rPr>
        <w:t>社会保障和就业支出（类）其他社会保障和就业支出（款）其他社会保障和就业支出（项）：</w:t>
      </w:r>
      <w:r>
        <w:rPr>
          <w:rFonts w:hint="eastAsia"/>
          <w:sz w:val="32"/>
          <w:szCs w:val="32"/>
          <w:lang w:val="en-US" w:eastAsia="zh-CN"/>
        </w:rPr>
        <w:t>指</w:t>
      </w:r>
      <w:r>
        <w:rPr>
          <w:rFonts w:hint="eastAsia"/>
          <w:sz w:val="32"/>
          <w:szCs w:val="32"/>
        </w:rPr>
        <w:t>除上述项目以外其他用于社会保障和就业方面的支出。</w:t>
      </w:r>
    </w:p>
    <w:p>
      <w:pPr>
        <w:pStyle w:val="2"/>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sz w:val="32"/>
          <w:szCs w:val="32"/>
        </w:rPr>
      </w:pPr>
      <w:r>
        <w:rPr>
          <w:rFonts w:hint="eastAsia"/>
          <w:sz w:val="32"/>
          <w:szCs w:val="32"/>
        </w:rPr>
        <w:t>1</w:t>
      </w:r>
      <w:r>
        <w:rPr>
          <w:rFonts w:hint="eastAsia"/>
          <w:sz w:val="32"/>
          <w:szCs w:val="32"/>
          <w:lang w:val="en-US" w:eastAsia="zh-CN"/>
        </w:rPr>
        <w:t>8</w:t>
      </w:r>
      <w:r>
        <w:rPr>
          <w:rFonts w:hint="eastAsia"/>
          <w:sz w:val="32"/>
          <w:szCs w:val="32"/>
        </w:rPr>
        <w:t>.</w:t>
      </w:r>
      <w:r>
        <w:rPr>
          <w:rFonts w:hint="eastAsia"/>
          <w:sz w:val="32"/>
          <w:szCs w:val="32"/>
          <w:lang w:val="en-US" w:eastAsia="zh-CN"/>
        </w:rPr>
        <w:t>卫生健康</w:t>
      </w:r>
      <w:r>
        <w:rPr>
          <w:rFonts w:hint="eastAsia"/>
          <w:sz w:val="32"/>
          <w:szCs w:val="32"/>
        </w:rPr>
        <w:t>支出（类）行政事业单位医疗（款）</w:t>
      </w:r>
      <w:r>
        <w:rPr>
          <w:rFonts w:hint="eastAsia"/>
          <w:sz w:val="32"/>
          <w:szCs w:val="32"/>
          <w:lang w:val="en-US" w:eastAsia="zh-CN"/>
        </w:rPr>
        <w:t>行政</w:t>
      </w:r>
      <w:r>
        <w:rPr>
          <w:rFonts w:hint="eastAsia"/>
          <w:sz w:val="32"/>
          <w:szCs w:val="32"/>
        </w:rPr>
        <w:t>单位医疗（项）：</w:t>
      </w:r>
      <w:r>
        <w:rPr>
          <w:rFonts w:hint="eastAsia"/>
          <w:sz w:val="32"/>
          <w:szCs w:val="32"/>
          <w:lang w:val="en-US" w:eastAsia="zh-CN"/>
        </w:rPr>
        <w:t>指</w:t>
      </w:r>
      <w:r>
        <w:rPr>
          <w:rFonts w:hint="eastAsia"/>
          <w:sz w:val="32"/>
          <w:szCs w:val="32"/>
        </w:rPr>
        <w:t>财政部门安排的</w:t>
      </w:r>
      <w:r>
        <w:rPr>
          <w:rFonts w:hint="eastAsia"/>
          <w:sz w:val="32"/>
          <w:szCs w:val="32"/>
          <w:lang w:val="en-US" w:eastAsia="zh-CN"/>
        </w:rPr>
        <w:t>行政</w:t>
      </w:r>
      <w:r>
        <w:rPr>
          <w:rFonts w:hint="eastAsia"/>
          <w:sz w:val="32"/>
          <w:szCs w:val="32"/>
        </w:rPr>
        <w:t>单位</w:t>
      </w:r>
      <w:r>
        <w:rPr>
          <w:rFonts w:hint="eastAsia"/>
          <w:sz w:val="32"/>
          <w:szCs w:val="32"/>
          <w:lang w:eastAsia="zh-CN"/>
        </w:rPr>
        <w:t>（</w:t>
      </w:r>
      <w:r>
        <w:rPr>
          <w:rFonts w:hint="eastAsia"/>
          <w:sz w:val="32"/>
          <w:szCs w:val="32"/>
          <w:lang w:val="en-US" w:eastAsia="zh-CN"/>
        </w:rPr>
        <w:t>包括实行公务员管理的事业单位，下同</w:t>
      </w:r>
      <w:r>
        <w:rPr>
          <w:rFonts w:hint="eastAsia"/>
          <w:sz w:val="32"/>
          <w:szCs w:val="32"/>
          <w:lang w:eastAsia="zh-CN"/>
        </w:rPr>
        <w:t>）</w:t>
      </w:r>
      <w:r>
        <w:rPr>
          <w:rFonts w:hint="eastAsia"/>
          <w:sz w:val="32"/>
          <w:szCs w:val="32"/>
        </w:rPr>
        <w:t>基本医疗保险缴费经费，未参加医疗保险的事业单位的公费医疗经费，按国家规定享受离休人员待遇人员的医疗经费。</w:t>
      </w:r>
    </w:p>
    <w:p>
      <w:pPr>
        <w:pStyle w:val="2"/>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sz w:val="32"/>
          <w:szCs w:val="32"/>
        </w:rPr>
      </w:pPr>
      <w:r>
        <w:rPr>
          <w:rFonts w:hint="eastAsia"/>
          <w:sz w:val="32"/>
          <w:szCs w:val="32"/>
        </w:rPr>
        <w:t>1</w:t>
      </w:r>
      <w:r>
        <w:rPr>
          <w:rFonts w:hint="eastAsia"/>
          <w:sz w:val="32"/>
          <w:szCs w:val="32"/>
          <w:lang w:val="en-US" w:eastAsia="zh-CN"/>
        </w:rPr>
        <w:t>9</w:t>
      </w:r>
      <w:r>
        <w:rPr>
          <w:rFonts w:hint="eastAsia"/>
          <w:sz w:val="32"/>
          <w:szCs w:val="32"/>
        </w:rPr>
        <w:t>.医疗卫生与计划生育支出（类）行政事业单位医疗（款）公务员医疗补助（项）：</w:t>
      </w:r>
      <w:r>
        <w:rPr>
          <w:rFonts w:hint="eastAsia"/>
          <w:sz w:val="32"/>
          <w:szCs w:val="32"/>
          <w:lang w:val="en-US" w:eastAsia="zh-CN"/>
        </w:rPr>
        <w:t>指</w:t>
      </w:r>
      <w:r>
        <w:rPr>
          <w:rFonts w:hint="eastAsia"/>
          <w:sz w:val="32"/>
          <w:szCs w:val="32"/>
        </w:rPr>
        <w:t>财政部门安排的公务员医疗补助经费。</w:t>
      </w:r>
    </w:p>
    <w:p>
      <w:pPr>
        <w:pStyle w:val="2"/>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sz w:val="32"/>
          <w:szCs w:val="32"/>
        </w:rPr>
      </w:pPr>
      <w:r>
        <w:rPr>
          <w:rFonts w:hint="eastAsia"/>
          <w:sz w:val="32"/>
          <w:szCs w:val="32"/>
          <w:lang w:val="en-US" w:eastAsia="zh-CN"/>
        </w:rPr>
        <w:t>20</w:t>
      </w:r>
      <w:r>
        <w:rPr>
          <w:rFonts w:hint="eastAsia"/>
          <w:sz w:val="32"/>
          <w:szCs w:val="32"/>
        </w:rPr>
        <w:t>.商业服务业等支出（类）商业流通事务（款）行政运行（项）：指行政单位（包括实行公务员管理的事业单位）的基本支出。</w:t>
      </w:r>
    </w:p>
    <w:p>
      <w:pPr>
        <w:pStyle w:val="2"/>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sz w:val="32"/>
          <w:szCs w:val="32"/>
        </w:rPr>
      </w:pPr>
      <w:r>
        <w:rPr>
          <w:rFonts w:hint="eastAsia"/>
          <w:sz w:val="32"/>
          <w:szCs w:val="32"/>
        </w:rPr>
        <w:t>2</w:t>
      </w:r>
      <w:r>
        <w:rPr>
          <w:rFonts w:hint="eastAsia"/>
          <w:sz w:val="32"/>
          <w:szCs w:val="32"/>
          <w:lang w:val="en-US" w:eastAsia="zh-CN"/>
        </w:rPr>
        <w:t>1</w:t>
      </w:r>
      <w:r>
        <w:rPr>
          <w:rFonts w:hint="eastAsia"/>
          <w:sz w:val="32"/>
          <w:szCs w:val="32"/>
        </w:rPr>
        <w:t>.商业服务业等支出（类）商业流通事务（款）一般行政管理事务（项）：指行政单位（包括实行公务员管理的事业单位）未单独设置项级科目的其他项目支出。</w:t>
      </w:r>
    </w:p>
    <w:p>
      <w:pPr>
        <w:pStyle w:val="2"/>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sz w:val="32"/>
          <w:szCs w:val="32"/>
        </w:rPr>
      </w:pPr>
      <w:r>
        <w:rPr>
          <w:rFonts w:hint="eastAsia"/>
          <w:sz w:val="32"/>
          <w:szCs w:val="32"/>
        </w:rPr>
        <w:t>2</w:t>
      </w:r>
      <w:r>
        <w:rPr>
          <w:rFonts w:hint="eastAsia"/>
          <w:sz w:val="32"/>
          <w:szCs w:val="32"/>
          <w:lang w:val="en-US" w:eastAsia="zh-CN"/>
        </w:rPr>
        <w:t>2</w:t>
      </w:r>
      <w:r>
        <w:rPr>
          <w:rFonts w:hint="eastAsia"/>
          <w:sz w:val="32"/>
          <w:szCs w:val="32"/>
        </w:rPr>
        <w:t>.商业服务业等支出（类）商业流通事务（款）其他商业流通事务支出（项）：指除上述项目以外其他用于商业流通事务方面的支出。</w:t>
      </w:r>
    </w:p>
    <w:p>
      <w:pPr>
        <w:pStyle w:val="2"/>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sz w:val="32"/>
          <w:szCs w:val="32"/>
        </w:rPr>
      </w:pPr>
      <w:r>
        <w:rPr>
          <w:rFonts w:hint="eastAsia"/>
          <w:sz w:val="32"/>
          <w:szCs w:val="32"/>
        </w:rPr>
        <w:t>2</w:t>
      </w:r>
      <w:r>
        <w:rPr>
          <w:rFonts w:hint="eastAsia"/>
          <w:sz w:val="32"/>
          <w:szCs w:val="32"/>
          <w:lang w:val="en-US" w:eastAsia="zh-CN"/>
        </w:rPr>
        <w:t>3</w:t>
      </w:r>
      <w:r>
        <w:rPr>
          <w:rFonts w:hint="eastAsia"/>
          <w:sz w:val="32"/>
          <w:szCs w:val="32"/>
        </w:rPr>
        <w:t>.住房保障支出（类）住房改革支出（款）住房公积金（项）：</w:t>
      </w:r>
      <w:r>
        <w:rPr>
          <w:rFonts w:hint="eastAsia"/>
          <w:sz w:val="32"/>
          <w:szCs w:val="32"/>
          <w:lang w:val="en-US" w:eastAsia="zh-CN"/>
        </w:rPr>
        <w:t>指</w:t>
      </w:r>
      <w:r>
        <w:rPr>
          <w:rFonts w:hint="eastAsia"/>
          <w:sz w:val="32"/>
          <w:szCs w:val="32"/>
        </w:rPr>
        <w:t>行政事业单位按人力资源和社会保障部、财政部规定的基本工资和津贴补贴以及规定比例为职工缴纳的住房公积金。</w:t>
      </w:r>
    </w:p>
    <w:p>
      <w:pPr>
        <w:pStyle w:val="2"/>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sz w:val="32"/>
          <w:szCs w:val="32"/>
        </w:rPr>
      </w:pPr>
      <w:r>
        <w:rPr>
          <w:rFonts w:hint="eastAsia"/>
          <w:sz w:val="32"/>
          <w:szCs w:val="32"/>
        </w:rPr>
        <w:t>2</w:t>
      </w:r>
      <w:r>
        <w:rPr>
          <w:rFonts w:hint="eastAsia"/>
          <w:sz w:val="32"/>
          <w:szCs w:val="32"/>
          <w:lang w:val="en-US" w:eastAsia="zh-CN"/>
        </w:rPr>
        <w:t>4</w:t>
      </w:r>
      <w:r>
        <w:rPr>
          <w:rFonts w:hint="eastAsia"/>
          <w:sz w:val="32"/>
          <w:szCs w:val="32"/>
        </w:rPr>
        <w:t>.住房保障支出（类）住房改革支出（款）购房补贴（项）：</w:t>
      </w:r>
      <w:r>
        <w:rPr>
          <w:rFonts w:hint="eastAsia"/>
          <w:sz w:val="32"/>
          <w:szCs w:val="32"/>
          <w:lang w:val="en-US" w:eastAsia="zh-CN"/>
        </w:rPr>
        <w:t>指</w:t>
      </w:r>
      <w:r>
        <w:rPr>
          <w:rFonts w:hint="eastAsia"/>
          <w:sz w:val="32"/>
          <w:szCs w:val="32"/>
        </w:rPr>
        <w:t>按房改政策规定，行政事业单位向符合条件职工（含离退休人员）、军队（含武警）向转役复原离退休人员发放的用于购买住房的补贴。</w:t>
      </w:r>
    </w:p>
    <w:p>
      <w:pPr>
        <w:pStyle w:val="2"/>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sz w:val="32"/>
          <w:szCs w:val="32"/>
        </w:rPr>
      </w:pPr>
      <w:r>
        <w:rPr>
          <w:rFonts w:hint="eastAsia"/>
          <w:sz w:val="32"/>
          <w:szCs w:val="32"/>
        </w:rPr>
        <w:t>2</w:t>
      </w:r>
      <w:r>
        <w:rPr>
          <w:rFonts w:hint="eastAsia"/>
          <w:sz w:val="32"/>
          <w:szCs w:val="32"/>
          <w:lang w:val="en-US" w:eastAsia="zh-CN"/>
        </w:rPr>
        <w:t>5</w:t>
      </w:r>
      <w:r>
        <w:rPr>
          <w:rFonts w:hint="eastAsia"/>
          <w:sz w:val="32"/>
          <w:szCs w:val="32"/>
        </w:rPr>
        <w:t>.粮油物资储备支出（类）重要商品储备（款）棉花储备（项）：</w:t>
      </w:r>
      <w:r>
        <w:rPr>
          <w:rFonts w:hint="eastAsia"/>
          <w:sz w:val="32"/>
          <w:szCs w:val="32"/>
          <w:lang w:val="en-US" w:eastAsia="zh-CN"/>
        </w:rPr>
        <w:t>指</w:t>
      </w:r>
      <w:r>
        <w:rPr>
          <w:rFonts w:hint="eastAsia"/>
          <w:sz w:val="32"/>
          <w:szCs w:val="32"/>
        </w:rPr>
        <w:t>棉花专项储备的有关支出。</w:t>
      </w:r>
    </w:p>
    <w:p>
      <w:pPr>
        <w:pStyle w:val="2"/>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sz w:val="32"/>
          <w:szCs w:val="32"/>
        </w:rPr>
      </w:pPr>
      <w:r>
        <w:rPr>
          <w:rFonts w:hint="eastAsia"/>
          <w:sz w:val="32"/>
          <w:szCs w:val="32"/>
        </w:rPr>
        <w:t>2</w:t>
      </w:r>
      <w:r>
        <w:rPr>
          <w:rFonts w:hint="eastAsia"/>
          <w:sz w:val="32"/>
          <w:szCs w:val="32"/>
          <w:lang w:val="en-US" w:eastAsia="zh-CN"/>
        </w:rPr>
        <w:t>6</w:t>
      </w:r>
      <w:r>
        <w:rPr>
          <w:rFonts w:hint="eastAsia"/>
          <w:sz w:val="32"/>
          <w:szCs w:val="32"/>
        </w:rPr>
        <w:t>.粮油物资储备支出（类）重要商品储备（款）化肥储备（项）：</w:t>
      </w:r>
      <w:r>
        <w:rPr>
          <w:rFonts w:hint="eastAsia"/>
          <w:sz w:val="32"/>
          <w:szCs w:val="32"/>
          <w:lang w:val="en-US" w:eastAsia="zh-CN"/>
        </w:rPr>
        <w:t>指</w:t>
      </w:r>
      <w:r>
        <w:rPr>
          <w:rFonts w:hint="eastAsia"/>
          <w:sz w:val="32"/>
          <w:szCs w:val="32"/>
        </w:rPr>
        <w:t>化肥专项储备（包括化肥淡季商业储备、救灾化肥储备等）的有关支出。</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.灾害防治及应急管理支出（类）应急管理事务（款）  安全监管（项）：指</w:t>
      </w:r>
      <w:r>
        <w:rPr>
          <w:rFonts w:hint="eastAsia" w:ascii="仿宋_GB2312" w:hAnsi="仿宋_GB2312" w:eastAsia="仿宋_GB2312" w:cs="仿宋_GB2312"/>
          <w:color w:val="000000"/>
          <w:sz w:val="32"/>
          <w:szCs w:val="32"/>
          <w:lang w:val="en-US" w:eastAsia="zh-CN"/>
        </w:rPr>
        <w:t>安全生产监管方面的支出</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w:t>
      </w:r>
      <w:r>
        <w:rPr>
          <w:rFonts w:hint="eastAsia" w:ascii="仿宋_GB2312" w:hAnsi="仿宋_GB2312" w:eastAsia="仿宋_GB2312" w:cs="仿宋_GB2312"/>
          <w:color w:val="000000"/>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 xml:space="preserve">.项目支出：指在基本支出之外为完成特定行政任务和事业发展目标所发生的支出。 </w:t>
      </w:r>
    </w:p>
    <w:p>
      <w:pPr>
        <w:pStyle w:val="25"/>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keepNext w:val="0"/>
        <w:keepLines w:val="0"/>
        <w:pageBreakBefore w:val="0"/>
        <w:widowControl w:val="0"/>
        <w:kinsoku/>
        <w:wordWrap/>
        <w:overflowPunct/>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adjustRightInd w:val="0"/>
        <w:snapToGrid w:val="0"/>
        <w:spacing w:line="580" w:lineRule="exact"/>
        <w:jc w:val="center"/>
        <w:textAlignment w:val="auto"/>
        <w:outlineLvl w:val="0"/>
        <w:rPr>
          <w:rStyle w:val="27"/>
          <w:rFonts w:hint="eastAsia" w:ascii="黑体" w:hAnsi="黑体" w:eastAsia="黑体"/>
          <w:b w:val="0"/>
          <w:color w:val="auto"/>
          <w:highlight w:val="none"/>
          <w:lang w:eastAsia="zh-CN"/>
        </w:rPr>
      </w:pPr>
      <w:bookmarkStart w:id="69" w:name="_Toc15377226"/>
      <w:r>
        <w:rPr>
          <w:rFonts w:hint="eastAsia" w:ascii="宋体"/>
          <w:b/>
          <w:color w:val="000000"/>
          <w:sz w:val="30"/>
          <w:szCs w:val="30"/>
          <w:lang w:val="en-US" w:eastAsia="zh-CN"/>
        </w:rPr>
        <w:t xml:space="preserve">     </w:t>
      </w:r>
      <w:r>
        <w:rPr>
          <w:rFonts w:ascii="宋体"/>
          <w:b/>
          <w:color w:val="000000"/>
          <w:sz w:val="30"/>
          <w:szCs w:val="30"/>
        </w:rPr>
        <w:br w:type="page"/>
      </w:r>
      <w:bookmarkStart w:id="70" w:name="_Toc15396614"/>
      <w:r>
        <w:rPr>
          <w:rFonts w:hint="eastAsia" w:ascii="黑体" w:hAnsi="黑体" w:eastAsia="黑体"/>
          <w:color w:val="auto"/>
          <w:sz w:val="44"/>
          <w:szCs w:val="44"/>
          <w:highlight w:val="none"/>
        </w:rPr>
        <w:t>第</w:t>
      </w:r>
      <w:r>
        <w:rPr>
          <w:rStyle w:val="27"/>
          <w:rFonts w:hint="eastAsia" w:ascii="黑体" w:hAnsi="黑体" w:eastAsia="黑体"/>
          <w:b w:val="0"/>
          <w:color w:val="auto"/>
          <w:highlight w:val="none"/>
        </w:rPr>
        <w:t>四部分 附件</w:t>
      </w:r>
      <w:bookmarkEnd w:id="70"/>
    </w:p>
    <w:p>
      <w:pPr>
        <w:spacing w:line="600" w:lineRule="exact"/>
        <w:jc w:val="left"/>
        <w:outlineLvl w:val="0"/>
        <w:rPr>
          <w:rFonts w:ascii="方正小标宋简体" w:hAnsi="方正小标宋简体" w:eastAsia="方正小标宋简体" w:cs="方正小标宋简体"/>
          <w:color w:val="auto"/>
          <w:sz w:val="44"/>
          <w:szCs w:val="44"/>
          <w:highlight w:val="none"/>
        </w:rPr>
      </w:pPr>
      <w:r>
        <w:rPr>
          <w:rFonts w:hint="eastAsia" w:ascii="黑体" w:hAnsi="黑体" w:eastAsia="黑体" w:cs="黑体"/>
          <w:color w:val="auto"/>
          <w:sz w:val="32"/>
          <w:szCs w:val="32"/>
          <w:highlight w:val="none"/>
        </w:rPr>
        <w:t>附件1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宋体" w:eastAsia="方正小标宋简体"/>
          <w:color w:val="auto"/>
          <w:kern w:val="0"/>
          <w:sz w:val="44"/>
          <w:szCs w:val="44"/>
          <w:highlight w:val="none"/>
          <w:lang w:val="en-US" w:eastAsia="zh-CN"/>
        </w:rPr>
      </w:pPr>
      <w:r>
        <w:rPr>
          <w:rFonts w:hint="eastAsia" w:ascii="方正小标宋简体" w:hAnsi="宋体" w:eastAsia="方正小标宋简体"/>
          <w:color w:val="auto"/>
          <w:kern w:val="0"/>
          <w:sz w:val="44"/>
          <w:szCs w:val="44"/>
          <w:highlight w:val="none"/>
        </w:rPr>
        <w:t>202</w:t>
      </w:r>
      <w:r>
        <w:rPr>
          <w:rFonts w:hint="eastAsia" w:ascii="方正小标宋简体" w:hAnsi="宋体" w:eastAsia="方正小标宋简体"/>
          <w:color w:val="auto"/>
          <w:kern w:val="0"/>
          <w:sz w:val="44"/>
          <w:szCs w:val="44"/>
          <w:highlight w:val="none"/>
          <w:lang w:val="en-US" w:eastAsia="zh-CN"/>
        </w:rPr>
        <w:t>0</w:t>
      </w:r>
      <w:r>
        <w:rPr>
          <w:rFonts w:hint="eastAsia" w:ascii="方正小标宋简体" w:hAnsi="宋体" w:eastAsia="方正小标宋简体"/>
          <w:color w:val="auto"/>
          <w:kern w:val="0"/>
          <w:sz w:val="44"/>
          <w:szCs w:val="44"/>
          <w:highlight w:val="none"/>
        </w:rPr>
        <w:t>年</w:t>
      </w:r>
      <w:r>
        <w:rPr>
          <w:rFonts w:hint="eastAsia" w:ascii="方正小标宋简体" w:hAnsi="宋体" w:eastAsia="方正小标宋简体"/>
          <w:color w:val="auto"/>
          <w:kern w:val="0"/>
          <w:sz w:val="44"/>
          <w:szCs w:val="44"/>
          <w:highlight w:val="none"/>
          <w:lang w:val="en-US" w:eastAsia="zh-CN"/>
        </w:rPr>
        <w:t>四川省供销合作社联合社</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宋体" w:eastAsia="方正小标宋简体"/>
          <w:color w:val="auto"/>
          <w:kern w:val="0"/>
          <w:sz w:val="40"/>
          <w:szCs w:val="44"/>
          <w:highlight w:val="none"/>
          <w:lang w:val="zh-CN"/>
        </w:rPr>
      </w:pPr>
      <w:r>
        <w:rPr>
          <w:rFonts w:hint="eastAsia" w:ascii="方正小标宋简体" w:hAnsi="宋体" w:eastAsia="方正小标宋简体"/>
          <w:color w:val="auto"/>
          <w:kern w:val="0"/>
          <w:sz w:val="44"/>
          <w:szCs w:val="44"/>
          <w:highlight w:val="none"/>
        </w:rPr>
        <w:t>部门整体支出绩效评价报告</w:t>
      </w:r>
    </w:p>
    <w:p>
      <w:pPr>
        <w:keepNext w:val="0"/>
        <w:keepLines w:val="0"/>
        <w:pageBreakBefore w:val="0"/>
        <w:widowControl w:val="0"/>
        <w:kinsoku/>
        <w:wordWrap/>
        <w:overflowPunct/>
        <w:topLinePunct w:val="0"/>
        <w:autoSpaceDE/>
        <w:autoSpaceDN/>
        <w:bidi w:val="0"/>
        <w:adjustRightInd w:val="0"/>
        <w:snapToGrid w:val="0"/>
        <w:spacing w:line="560" w:lineRule="exact"/>
        <w:ind w:firstLine="960" w:firstLineChars="300"/>
        <w:textAlignment w:val="auto"/>
        <w:rPr>
          <w:rFonts w:hint="eastAsia" w:ascii="黑体" w:hAnsi="宋体" w:eastAsia="黑体"/>
          <w:sz w:val="32"/>
          <w:szCs w:val="32"/>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560" w:lineRule="exact"/>
        <w:ind w:firstLine="960" w:firstLineChars="300"/>
        <w:textAlignment w:val="auto"/>
        <w:rPr>
          <w:rFonts w:ascii="黑体" w:hAnsi="宋体" w:eastAsia="黑体"/>
          <w:sz w:val="32"/>
          <w:szCs w:val="32"/>
          <w:shd w:val="clear" w:color="auto" w:fill="FFFFFF"/>
        </w:rPr>
      </w:pPr>
      <w:r>
        <w:rPr>
          <w:rFonts w:hint="eastAsia" w:ascii="黑体" w:hAnsi="宋体" w:eastAsia="黑体"/>
          <w:sz w:val="32"/>
          <w:szCs w:val="32"/>
          <w:shd w:val="clear" w:color="auto" w:fill="FFFFFF"/>
        </w:rPr>
        <w:t>一、部门概况</w:t>
      </w:r>
    </w:p>
    <w:p>
      <w:pPr>
        <w:keepNext w:val="0"/>
        <w:keepLines w:val="0"/>
        <w:pageBreakBefore w:val="0"/>
        <w:widowControl w:val="0"/>
        <w:kinsoku/>
        <w:wordWrap/>
        <w:overflowPunct/>
        <w:topLinePunct w:val="0"/>
        <w:autoSpaceDE/>
        <w:autoSpaceDN/>
        <w:bidi w:val="0"/>
        <w:adjustRightInd w:val="0"/>
        <w:snapToGrid w:val="0"/>
        <w:spacing w:line="560" w:lineRule="exact"/>
        <w:ind w:firstLine="800" w:firstLineChars="250"/>
        <w:textAlignment w:val="auto"/>
        <w:rPr>
          <w:rFonts w:ascii="楷体_GB2312" w:hAnsi="宋体" w:eastAsia="楷体_GB2312"/>
          <w:sz w:val="32"/>
          <w:szCs w:val="32"/>
          <w:shd w:val="clear" w:color="auto" w:fill="FFFFFF"/>
        </w:rPr>
      </w:pPr>
      <w:r>
        <w:rPr>
          <w:rFonts w:hint="eastAsia" w:ascii="楷体_GB2312" w:hAnsi="宋体" w:eastAsia="楷体_GB2312"/>
          <w:sz w:val="32"/>
          <w:szCs w:val="32"/>
          <w:shd w:val="clear" w:color="auto" w:fill="FFFFFF"/>
        </w:rPr>
        <w:t>（一）机构组成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川省供销合作社联合社（以下简称：省供销社）下属3个二级预算单位。其中：参公管理事业单位1个（省供销社机关）；公益二类事业单位2个，分别为四川省商贸学校（以下简称：省商贸校）、四川省贸易学校（以下简称：省贸易校），均为中等职业教育学校。</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省供销社机关内设机构（12个）。分别为：办公室、机关党委办公室、政策研究室、人事教育处、财务统计处、审计绩效处、经济发展处、社务指导处、互助合作处、企业管理处、离退休人员工作处、监事会办公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省商贸校地处德阳市。内部共设有校办、人事处、财务处、教务处、学生处、科研处、保卫处、总务处、党办（纪委、工会）、团委、财会金融系、商务与艺术系、航空旅游系、电子机械系、基础部（升学部）、招生就业办、成教办、培训中心、图书馆（科研处）等19个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省贸易校属国家级中职示范学校，现有经开校区、雅安老校区和石棉</w:t>
      </w:r>
      <w:r>
        <w:rPr>
          <w:rFonts w:hint="eastAsia" w:ascii="仿宋_GB2312" w:hAnsi="仿宋_GB2312" w:eastAsia="仿宋_GB2312" w:cs="仿宋_GB2312"/>
          <w:sz w:val="32"/>
          <w:szCs w:val="32"/>
          <w:shd w:val="clear" w:color="auto" w:fill="FFFFFF"/>
          <w:lang w:val="en-US" w:eastAsia="zh-CN"/>
        </w:rPr>
        <w:t>校区</w:t>
      </w:r>
      <w:r>
        <w:rPr>
          <w:rFonts w:hint="eastAsia" w:ascii="仿宋_GB2312" w:hAnsi="仿宋_GB2312" w:eastAsia="仿宋_GB2312" w:cs="仿宋_GB2312"/>
          <w:sz w:val="32"/>
          <w:szCs w:val="32"/>
          <w:shd w:val="clear" w:color="auto" w:fill="FFFFFF"/>
        </w:rPr>
        <w:t>三个校区。下设有办公室，教务处，学生处，资产处，财务处，招生办，保卫处等20个科室。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_GB2312" w:hAnsi="宋体" w:eastAsia="楷体_GB2312"/>
          <w:sz w:val="32"/>
          <w:szCs w:val="32"/>
          <w:shd w:val="clear" w:color="auto" w:fill="FFFFFF"/>
        </w:rPr>
      </w:pPr>
      <w:r>
        <w:rPr>
          <w:rFonts w:hint="eastAsia" w:ascii="楷体_GB2312" w:hAnsi="宋体" w:eastAsia="楷体_GB2312"/>
          <w:sz w:val="32"/>
          <w:szCs w:val="32"/>
          <w:shd w:val="clear" w:color="auto" w:fill="FFFFFF"/>
        </w:rPr>
        <w:t>（二）机构职能</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供销合作社是为农服务的合作经济组织，是党和政府密切联系农民群众的桥梁纽带，是推动农村经济社会发展不可或缺的重要力量。省供销社主要任务是指导全省供销合作社改革发展，承担重要农业生产资料经营、管理工作，组织全省供销社系统参与和推进农业产业化经营，推动生产合作、供销合作、信用合作、消费合作“四位一体”共享发展，加强商品供求、市场、信息服务体系建设，建立和完善农业社会化服务体系，做好为农业、农村、农民服务工作，监督和管理社有资产，行使本级社有资产出资人代表职能，并按出资额依法享有资产收益、重大决策和选择经营管理者等权利。具体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1.宣传贯彻党中央、国务院和省委、省政府的方针政策。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2.研究制定全省供销合作社发展规划；指导全省供销合作社的改革和发展，加快体制、机制创新，探索社会主义市场经济条件下合作经济的多种实现形式。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3.在政府授权下，承担对重要农业生产资料经营、管理工作；参与组织、储备、调运有关救灾物资的工作。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4.协调同政府有关部门、社会组织的关系，研究供销合作社运行中的重大问题；了解、反映供销社系统和农民群众的意见和要求，维护农民合作经济组织的合法权益。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5.组织全省供销社系统参与和推进农业产业化经营，组织发展专业合作社、消费合作社等中介服务组织，加强商品供求、市场、信息服务体系建设。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6.围绕建立和完善农业社会化服务体系，做好为农业、农村、农民服务工作，促进农村经济发展和农民收入水平的提高。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7.监督和管理社有资产，确保社有资产保值增值，行使本级社有资产出资人代表职能，并按出资额依法享有资产受益、重大决策和选择经营管理者等权利。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8.参与国际合作，密切经济、技术交流活动。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9.承担省政府交办的其他事项。</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150"/>
        <w:textAlignment w:val="auto"/>
        <w:rPr>
          <w:rFonts w:hint="eastAsia" w:ascii="楷体_GB2312" w:hAnsi="宋体" w:eastAsia="楷体_GB2312"/>
          <w:sz w:val="32"/>
          <w:szCs w:val="32"/>
          <w:shd w:val="clear" w:color="auto" w:fill="FFFFFF"/>
        </w:rPr>
      </w:pPr>
      <w:r>
        <w:rPr>
          <w:rFonts w:hint="eastAsia" w:ascii="楷体_GB2312" w:hAnsi="宋体" w:eastAsia="楷体_GB2312"/>
          <w:sz w:val="32"/>
          <w:szCs w:val="32"/>
          <w:shd w:val="clear" w:color="auto" w:fill="FFFFFF"/>
        </w:rPr>
        <w:t>（三）人员概况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省社机关编制数89个（参照公务员管理编制79个，工勤人员编制10个）；省商贸校事业编制数171个，在校学生2852人；省贸易校事业编制数125个，在校学生2907人。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省社机关年末实有人数85人，较上年增加1人。在职80人，较上年增加2人（新进4人，调出2人）；离休5人，较上年减少1人（死亡1人）。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省商贸校年末实有人数138人，较上年减少4人。在职136人，较上年减少4人（退休4人）；离休2人，与上年持平。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省贸易校年末实有人数99人，在职98人，较上年增加5人（新招考5人）；离休1人，与上年持平。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宋体" w:eastAsia="黑体"/>
          <w:sz w:val="32"/>
          <w:szCs w:val="32"/>
          <w:shd w:val="clear" w:color="auto" w:fill="FFFFFF"/>
        </w:rPr>
      </w:pPr>
      <w:r>
        <w:rPr>
          <w:rFonts w:hint="eastAsia" w:ascii="黑体" w:hAnsi="宋体" w:eastAsia="黑体"/>
          <w:sz w:val="32"/>
          <w:szCs w:val="32"/>
          <w:shd w:val="clear" w:color="auto" w:fill="FFFFFF"/>
        </w:rPr>
        <w:t>二、部门财政资金收支情况</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150"/>
        <w:textAlignment w:val="auto"/>
        <w:rPr>
          <w:rFonts w:hint="eastAsia" w:ascii="楷体_GB2312" w:hAnsi="宋体" w:eastAsia="楷体_GB2312"/>
          <w:sz w:val="32"/>
          <w:szCs w:val="32"/>
          <w:shd w:val="clear" w:color="auto" w:fill="FFFFFF"/>
          <w:lang w:eastAsia="zh-CN"/>
        </w:rPr>
      </w:pPr>
      <w:r>
        <w:rPr>
          <w:rFonts w:hint="eastAsia" w:ascii="楷体_GB2312" w:hAnsi="宋体" w:eastAsia="楷体_GB2312"/>
          <w:sz w:val="32"/>
          <w:szCs w:val="32"/>
          <w:shd w:val="clear" w:color="auto" w:fill="FFFFFF"/>
        </w:rPr>
        <w:t>（一）部门财政资金收入情况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2020年度，省供销社部门决算收入数14027.52万元，较上年16153.95万元减少2126.43万元，减幅13.16%。其中：财政拨款收入13747.48万元，较上年15891.13万元减少2143.65万元，减幅13.49%；事业收入280.00万元，较上年262.00万元增加18.00万元，增幅6.87%；其他收入0.05万元，较上年0.82万元减少0.77万元，减幅93.9%。</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其中：省社机关部门决算收入4314.47万元（其中：财政拨款收入4314.42万元，其他收入0.05万元）；省商贸校部门决算收入6199.39万元（其中：财政拨款收入6039.39万元，事业收入160.00万元）；省贸易校部门决算收入3513.67万元（其中：财政拨款收入3393.67万元，事业收入120.00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宋体" w:eastAsia="楷体_GB2312"/>
          <w:sz w:val="32"/>
          <w:szCs w:val="32"/>
          <w:shd w:val="clear" w:color="auto" w:fill="FFFFFF"/>
          <w:lang w:eastAsia="zh-CN"/>
        </w:rPr>
      </w:pPr>
      <w:r>
        <w:rPr>
          <w:rFonts w:hint="eastAsia" w:ascii="楷体_GB2312" w:hAnsi="宋体" w:eastAsia="楷体_GB2312"/>
          <w:sz w:val="32"/>
          <w:szCs w:val="32"/>
          <w:shd w:val="clear" w:color="auto" w:fill="FFFFFF"/>
        </w:rPr>
        <w:t>（二）部门财政资金支出情况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2020年度，省供销社部门决算支出数14027.52万元，较上年16153.95万元减少2126.43万元，减幅13.16%。其中：基本支出6331.26万元，较上年6795.83万元减少464.57万元，减幅6.84%；项目支出7696.27万元，较上年9358.11万元减少1661.84万元，减幅17.76%。</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其中：省社机关部门决算支出4314.47万元（其中：基本支出2704.43万元，项目支出1610.04万元），省商贸校部门决算支出6199.39万元（其中：基本支出2189.98万元，项目支出4009.41万元），省贸易校部门决算支出3513.67万元（其中：基本支出1436.85万元，项目支出2076.82万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黑体" w:hAnsi="宋体" w:eastAsia="黑体"/>
          <w:sz w:val="32"/>
          <w:szCs w:val="32"/>
          <w:shd w:val="clear" w:color="auto" w:fill="FFFFFF"/>
        </w:rPr>
      </w:pPr>
      <w:r>
        <w:rPr>
          <w:rFonts w:hint="eastAsia" w:ascii="黑体" w:hAnsi="宋体" w:eastAsia="黑体"/>
          <w:sz w:val="32"/>
          <w:szCs w:val="32"/>
          <w:shd w:val="clear" w:color="auto" w:fill="FFFFFF"/>
        </w:rPr>
        <w:t xml:space="preserve">    三、部门整体预算绩效管理情况</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_GB2312" w:hAnsi="宋体" w:eastAsia="楷体_GB2312"/>
          <w:color w:val="000000"/>
          <w:sz w:val="32"/>
          <w:szCs w:val="32"/>
          <w:shd w:val="clear" w:color="auto" w:fill="FFFFFF"/>
          <w:lang w:eastAsia="zh-CN"/>
        </w:rPr>
      </w:pPr>
      <w:r>
        <w:rPr>
          <w:rFonts w:hint="eastAsia" w:ascii="楷体_GB2312" w:hAnsi="宋体" w:eastAsia="楷体_GB2312"/>
          <w:color w:val="000000"/>
          <w:sz w:val="32"/>
          <w:szCs w:val="32"/>
          <w:shd w:val="clear" w:color="auto" w:fill="FFFFFF"/>
        </w:rPr>
        <w:t xml:space="preserve">    （一）部门预算管理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1.预算编制情况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是绩效目标制定的要素完整，做到了细化量化。根据项目性质设置完成指标、效益指标、满意度指标等，数量指标细化到具体个数、效益指标和满意度指标细化到具体比率。尤其是部门预算专用项目在项目库中按照规定格式填报绩效目标，详细反映相应工作任务、经费预算的测算过程（含具体工作量、支出成本和采用的支出测算标准）、达成的效果等。所有100万元以上的部门预算项目均填报绩效目标，说明项目概况，确定具体的绩效指标和指标值，全面反映项目效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二是绩效目标完成情况较好，基本达到预期绩效目标。2020年本部门100万元以上的部门预算项目5个。</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省社机关2个，分别是：年初预算棉花储备贴息150万元、化肥储备贴息760万元。</w:t>
      </w:r>
      <w:r>
        <w:rPr>
          <w:rFonts w:hint="eastAsia" w:ascii="仿宋_GB2312" w:hAnsi="仿宋_GB2312" w:eastAsia="仿宋_GB2312" w:cs="仿宋_GB2312"/>
          <w:color w:val="000000"/>
          <w:sz w:val="32"/>
          <w:szCs w:val="32"/>
          <w:shd w:val="clear" w:color="auto" w:fill="FFFFFF"/>
        </w:rPr>
        <w:t>2020年11月，受疫情防控影响，从省级供销综合改革及发展专项资金总量中切块</w:t>
      </w:r>
      <w:r>
        <w:rPr>
          <w:rFonts w:hint="eastAsia" w:ascii="仿宋_GB2312" w:hAnsi="仿宋_GB2312" w:eastAsia="仿宋_GB2312" w:cs="仿宋_GB2312"/>
          <w:color w:val="000000"/>
          <w:sz w:val="32"/>
          <w:szCs w:val="32"/>
          <w:shd w:val="clear" w:color="auto" w:fill="FFFFFF"/>
          <w:lang w:val="en-US" w:eastAsia="zh-CN"/>
        </w:rPr>
        <w:t>200</w:t>
      </w:r>
      <w:r>
        <w:rPr>
          <w:rFonts w:hint="eastAsia" w:ascii="仿宋_GB2312" w:hAnsi="仿宋_GB2312" w:eastAsia="仿宋_GB2312" w:cs="仿宋_GB2312"/>
          <w:color w:val="000000"/>
          <w:sz w:val="32"/>
          <w:szCs w:val="32"/>
          <w:shd w:val="clear" w:color="auto" w:fill="FFFFFF"/>
        </w:rPr>
        <w:t>万元用于补助棉花商业储备贴息</w:t>
      </w:r>
      <w:r>
        <w:rPr>
          <w:rFonts w:hint="eastAsia" w:ascii="仿宋_GB2312" w:hAnsi="仿宋_GB2312" w:eastAsia="仿宋_GB2312" w:cs="仿宋_GB2312"/>
          <w:color w:val="000000"/>
          <w:sz w:val="32"/>
          <w:szCs w:val="32"/>
          <w:shd w:val="clear" w:color="auto" w:fill="FFFFFF"/>
          <w:lang w:val="en-US" w:eastAsia="zh-CN"/>
        </w:rPr>
        <w:t>,300</w:t>
      </w:r>
      <w:r>
        <w:rPr>
          <w:rFonts w:hint="eastAsia" w:ascii="仿宋_GB2312" w:hAnsi="仿宋_GB2312" w:eastAsia="仿宋_GB2312" w:cs="仿宋_GB2312"/>
          <w:color w:val="000000"/>
          <w:sz w:val="32"/>
          <w:szCs w:val="32"/>
          <w:shd w:val="clear" w:color="auto" w:fill="FFFFFF"/>
        </w:rPr>
        <w:t>万用于补助化肥商业储备贴息。按照《省级化肥储备管理暂行办法》、《省级棉花储备管理暂行办法》的相关要求，我社委托四川衡立泰会计师事务有限公司对2019—2020年省级化肥、棉花储备贴息资金实施了绩效评价。</w:t>
      </w:r>
      <w:r>
        <w:rPr>
          <w:rFonts w:hint="eastAsia" w:ascii="仿宋_GB2312" w:hAnsi="仿宋_GB2312" w:eastAsia="仿宋_GB2312" w:cs="仿宋_GB2312"/>
          <w:sz w:val="32"/>
          <w:szCs w:val="32"/>
          <w:shd w:val="clear" w:color="auto" w:fill="FFFFFF"/>
        </w:rPr>
        <w:t>评价认为承储企业完成了省级化肥、棉花储备任务，承储企业各项制度较完善，财务管理、库存管理等较规范。项目的实施在平抑价格、稳定市场、满足应急需要等方面起到了一定的作用。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省商贸校2个，一是上年结转“现代职业教育质量提升计划专项资金”250.72万元，主要用于智慧校园平台和汽车检测线建设。其中：智慧校园平台建设资金110.72万元，该平台已经用于教学、学生管理、招生就业及教学诊改，能够做到各种数据共享、整合、抓取、查询等；购买汽车检测线设备及创壹虚拟汽车维修教学技能培训系统建设资金140万元，因为受疫情的影响，检测线的建设进度滞后，相关检测的审批工作在抓紧进行中，预计2021年7月完成所有工作，能满足师生的培训和服务社会。二是继续实施项目</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四川省农村电商“产学研基”建设项目1362.56万元。土建工程主体竣工面积10116.47㎡，土建工程基槽、地基、主体分部验收合格，年培训规模5000人次以上，每年实现培训收入80万元。项目建成后可增强学校的实训能力，搭建学生就业和创业的预热平台，实现“订单式”培养，实现学校人才培养和企业人才需求间的“无缝对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省贸易校1个，上年结转“茶产业职业技能实训基地—教育现代化推进工程中央预算内投资”361.09万元，按照项目规划要求，完成勘察设计、招标控制90%，在整个项目建成投入使用后，将新增0.8万平方米，为开展教育教学奠定了良好基础，极大提升专业建设能力和教育质量水平，为乡村振兴和茶产业发展提供人才支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是部门预算编制更加科学精准，基本保障各项资金需求。省社机关和两所学校严格根据省财政核定和下达的控制数为基数来编制部门预算，编制工作按照省财政“两上两下”的要求按时上报。内容清楚明确，将民生支出、社保支出作为重点内容优先保障安排，科学规范编制“三年滚动规划”，各部门根据实际发展需要对年度财政收支情况提出资金需求，通过党组会审定后确定支出明细。预算测算与部门工作任务（项目）的匹配，体现部门工作内容的全面情况；基本支出与项目支出边界界定的清晰明确；项目间内容划分界定的清晰，重点内容优先保障安排；预算测算与相关定额标准相符，按照国家行政事业单位相关支出标准及进行费用测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2.预算执行情况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是部门公用经费及非定额公用支出控制情况较好。日常公用经费、项目支出中“办公费、印刷费、水费、电费、物业管理费、邮电费”等科目的年初预算合计166.84万元，部门公用经费及非定额公用支出决算合计162.61万元，决算比预算下降2.54%，偏差控制在10%之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是开展了绩效运行监控，绩效监控结果运用效果较差。2020年8月，按照财政厅《关于开展2020年度绩效运行监控工作的通知》的相关要求，我社开展绩效运行监控后，预计所有项目都能顺利实施，未提出调整取消额。实际执行结果，因学校基建项目实施进度较缓资金拨付不到位，导致年底预算结余2022.31万元，结余注销额超过部门年度预算总额10%。</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是预算执行进度较省财政的序时进度有差距。我单位2020年6、9、11月的预算执行进度分别为27.57%、47.16%、71.93%，较实际支出进度40%、67.5%、82.5%有较大差距。主要原因：一是省贸易校的“教育现代化推进工程中央预算内投资”1404.17万元，由于前期相关工作推进较慢，资金拨付滞后，拉低了整个部门的预算执行进度；二是省贸易校“现代职业教育提升计划”400万元，由于指标下达晚，当年未实施；三是省商贸校和省社机关结余公务接待费等公用经费23.14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3.完成结果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shd w:val="clear" w:color="auto" w:fill="FFFFFF"/>
        </w:rPr>
        <w:t>一是部门预算项目年终执行情况。</w:t>
      </w:r>
      <w:r>
        <w:rPr>
          <w:rFonts w:hint="eastAsia" w:ascii="仿宋_GB2312" w:hAnsi="仿宋_GB2312" w:eastAsia="仿宋_GB2312" w:cs="仿宋_GB2312"/>
          <w:color w:val="000000"/>
          <w:sz w:val="32"/>
          <w:szCs w:val="32"/>
          <w:shd w:val="clear" w:color="auto" w:fill="FFFFFF"/>
        </w:rPr>
        <w:t>2020年部门决算支出总计14027.52万元，调整预算数总计16049.79万元，全年预算执行率为87.4%。执行进度未达到100%的原因，主要原因一是省贸易校的“教育现代化推进工程中央预算内投资”1404.17万元，由于前期相关工作推进较慢，资金拨付滞后，拉低了整个部门的预算执行进度。二是省贸易校“现代职业教育提升计划”400万元，由于指标下达晚，当年未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二是不存在违规记录情况。2020年我社未接受其他审计监督和财政检查，未反映上一年度部门预算管理有违纪违规问题。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宋体" w:eastAsia="楷体_GB2312"/>
          <w:sz w:val="32"/>
          <w:szCs w:val="32"/>
          <w:shd w:val="clear" w:color="auto" w:fill="FFFFFF"/>
          <w:lang w:eastAsia="zh-CN"/>
        </w:rPr>
      </w:pPr>
      <w:r>
        <w:rPr>
          <w:rFonts w:hint="eastAsia" w:ascii="楷体_GB2312" w:hAnsi="宋体" w:eastAsia="楷体_GB2312"/>
          <w:sz w:val="32"/>
          <w:szCs w:val="32"/>
          <w:shd w:val="clear" w:color="auto" w:fill="FFFFFF"/>
        </w:rPr>
        <w:t>（二）专项预算管理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2020年，省财政预算安排省级供销综合改革及发展专项资金（以下简称：省级综改资金）9090万元，安排3000万元用于深度贫困地区产业扶贫；安排4181万元用于支持基层供销社标杆社、农民专业合作社示范社建设；现代流通体系建设；开展农事（土地）托管；新型代办、管理咨询等服务以及“三社”融合试点；省级化肥和棉花商业储备贴息补助500万元；预留省级应急救灾资金909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由于省财政将单独布置专项项目自评工作，故本报告中暂不包括专项预算项目自评报告内容。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宋体" w:eastAsia="楷体_GB2312"/>
          <w:sz w:val="32"/>
          <w:szCs w:val="32"/>
          <w:shd w:val="clear" w:color="auto" w:fill="FFFFFF"/>
          <w:lang w:eastAsia="zh-CN"/>
        </w:rPr>
      </w:pPr>
      <w:r>
        <w:rPr>
          <w:rFonts w:hint="eastAsia" w:ascii="楷体_GB2312" w:hAnsi="宋体" w:eastAsia="楷体_GB2312"/>
          <w:sz w:val="32"/>
          <w:szCs w:val="32"/>
          <w:shd w:val="clear" w:color="auto" w:fill="FFFFFF"/>
        </w:rPr>
        <w:t>（三）绩效结果应用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1.信息公开。按照财政相关要求，2020年6月部门绩效目标随同部门预算公开；2020年9月整体支出绩效自评情况随同部门决算公开。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FF"/>
          <w:sz w:val="32"/>
          <w:szCs w:val="32"/>
          <w:shd w:val="clear" w:color="auto" w:fill="FFFFFF"/>
        </w:rPr>
      </w:pPr>
      <w:r>
        <w:rPr>
          <w:rFonts w:hint="eastAsia" w:ascii="仿宋_GB2312" w:hAnsi="仿宋_GB2312" w:eastAsia="仿宋_GB2312" w:cs="仿宋_GB2312"/>
          <w:sz w:val="32"/>
          <w:szCs w:val="32"/>
          <w:shd w:val="clear" w:color="auto" w:fill="FFFFFF"/>
        </w:rPr>
        <w:t>2.应用反馈。</w:t>
      </w:r>
      <w:r>
        <w:rPr>
          <w:rFonts w:hint="eastAsia" w:ascii="仿宋_GB2312" w:hAnsi="仿宋_GB2312" w:eastAsia="仿宋_GB2312" w:cs="仿宋_GB2312"/>
          <w:color w:val="000000"/>
          <w:sz w:val="32"/>
          <w:szCs w:val="32"/>
          <w:shd w:val="clear" w:color="auto" w:fill="FFFFFF"/>
        </w:rPr>
        <w:t>针对绩效管理过程中（包括绩效目标核查、绩效监控核查和重点绩效评价）提出的问题进行整改，及时将绩效管理结果与预算安排进行挂钩。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sz w:val="32"/>
          <w:szCs w:val="32"/>
          <w:shd w:val="clear" w:color="auto" w:fill="FFFFFF"/>
        </w:rPr>
      </w:pPr>
      <w:r>
        <w:rPr>
          <w:rFonts w:hint="eastAsia" w:ascii="黑体" w:hAnsi="黑体" w:eastAsia="黑体"/>
          <w:sz w:val="32"/>
          <w:szCs w:val="32"/>
          <w:shd w:val="clear" w:color="auto" w:fill="FFFFFF"/>
        </w:rPr>
        <w:t>四、评价结论及建议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宋体" w:eastAsia="楷体_GB2312"/>
          <w:sz w:val="32"/>
          <w:szCs w:val="32"/>
          <w:shd w:val="clear" w:color="auto" w:fill="FFFFFF"/>
          <w:lang w:eastAsia="zh-CN"/>
        </w:rPr>
      </w:pPr>
      <w:r>
        <w:rPr>
          <w:rFonts w:hint="eastAsia" w:ascii="楷体_GB2312" w:hAnsi="宋体" w:eastAsia="楷体_GB2312"/>
          <w:sz w:val="32"/>
          <w:szCs w:val="32"/>
          <w:shd w:val="clear" w:color="auto" w:fill="FFFFFF"/>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通过加强预算收支管理，不断建立健全内部管理制度，省供销社的部门整体支出管理水平得到提升，较好的完成了年度的各项工作目标。按照部门整体支出绩效评价指标体系（适用于专项预算小于1亿的部门）自评打分得</w:t>
      </w:r>
      <w:r>
        <w:rPr>
          <w:rFonts w:hint="eastAsia" w:ascii="仿宋_GB2312" w:hAnsi="仿宋_GB2312" w:eastAsia="仿宋_GB2312" w:cs="仿宋_GB2312"/>
          <w:color w:val="000000"/>
          <w:sz w:val="32"/>
          <w:szCs w:val="32"/>
          <w:shd w:val="clear" w:color="auto" w:fill="FFFFFF"/>
        </w:rPr>
        <w:t>5</w:t>
      </w:r>
      <w:r>
        <w:rPr>
          <w:rFonts w:hint="eastAsia" w:ascii="仿宋_GB2312" w:hAnsi="仿宋_GB2312" w:eastAsia="仿宋_GB2312" w:cs="仿宋_GB2312"/>
          <w:color w:val="000000"/>
          <w:sz w:val="32"/>
          <w:szCs w:val="32"/>
          <w:shd w:val="clear" w:color="auto" w:fill="FFFFFF"/>
          <w:lang w:val="en-US" w:eastAsia="zh-CN"/>
        </w:rPr>
        <w:t>8</w:t>
      </w:r>
      <w:r>
        <w:rPr>
          <w:rFonts w:hint="eastAsia" w:ascii="仿宋_GB2312" w:hAnsi="仿宋_GB2312" w:eastAsia="仿宋_GB2312" w:cs="仿宋_GB2312"/>
          <w:color w:val="000000"/>
          <w:sz w:val="32"/>
          <w:szCs w:val="32"/>
          <w:shd w:val="clear" w:color="auto" w:fill="FFFFFF"/>
        </w:rPr>
        <w:t>.51分（详见附件，按总分70分自评5</w:t>
      </w:r>
      <w:r>
        <w:rPr>
          <w:rFonts w:hint="eastAsia" w:ascii="仿宋_GB2312" w:hAnsi="仿宋_GB2312" w:eastAsia="仿宋_GB2312" w:cs="仿宋_GB2312"/>
          <w:color w:val="000000"/>
          <w:sz w:val="32"/>
          <w:szCs w:val="32"/>
          <w:shd w:val="clear" w:color="auto" w:fill="FFFFFF"/>
          <w:lang w:val="en-US" w:eastAsia="zh-CN"/>
        </w:rPr>
        <w:t>8</w:t>
      </w:r>
      <w:r>
        <w:rPr>
          <w:rFonts w:hint="eastAsia" w:ascii="仿宋_GB2312" w:hAnsi="仿宋_GB2312" w:eastAsia="仿宋_GB2312" w:cs="仿宋_GB2312"/>
          <w:color w:val="000000"/>
          <w:sz w:val="32"/>
          <w:szCs w:val="32"/>
          <w:shd w:val="clear" w:color="auto" w:fill="FFFFFF"/>
        </w:rPr>
        <w:t>.51分，按100分总分折算为8</w:t>
      </w:r>
      <w:r>
        <w:rPr>
          <w:rFonts w:hint="eastAsia" w:ascii="仿宋_GB2312" w:hAnsi="仿宋_GB2312" w:eastAsia="仿宋_GB2312" w:cs="仿宋_GB2312"/>
          <w:color w:val="000000"/>
          <w:sz w:val="32"/>
          <w:szCs w:val="32"/>
          <w:shd w:val="clear" w:color="auto" w:fill="FFFFFF"/>
          <w:lang w:val="en-US" w:eastAsia="zh-CN"/>
        </w:rPr>
        <w:t>3.6</w:t>
      </w:r>
      <w:r>
        <w:rPr>
          <w:rFonts w:hint="eastAsia" w:ascii="仿宋_GB2312" w:hAnsi="仿宋_GB2312" w:eastAsia="仿宋_GB2312" w:cs="仿宋_GB2312"/>
          <w:color w:val="000000"/>
          <w:sz w:val="32"/>
          <w:szCs w:val="32"/>
          <w:shd w:val="clear" w:color="auto" w:fill="FFFFFF"/>
        </w:rPr>
        <w:t>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宋体" w:eastAsia="楷体_GB2312"/>
          <w:sz w:val="32"/>
          <w:szCs w:val="32"/>
          <w:shd w:val="clear" w:color="auto" w:fill="FFFFFF"/>
          <w:lang w:eastAsia="zh-CN"/>
        </w:rPr>
      </w:pPr>
      <w:r>
        <w:rPr>
          <w:rFonts w:hint="eastAsia" w:ascii="楷体_GB2312" w:hAnsi="宋体" w:eastAsia="楷体_GB2312"/>
          <w:sz w:val="32"/>
          <w:szCs w:val="32"/>
          <w:shd w:val="clear" w:color="auto" w:fill="FFFFFF"/>
        </w:rPr>
        <w:t>（二）存在问题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通过本次评价发现，省供销社部门整体预算执行较好，推动全省供销系统综合改革成效显著，取得了一定的社会效益及经济效益。但在预算编制和执行、专项预算管理等方面，也存在一些有待改进的问题。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1.预算编制水平有待提高，绩效目标设定不够细化。由于项目资金的测算标准及测算过程、绩效参数和指标值是具体使用资金的业务部门在填报，预算编制的测算依据不够充分，细化量化的指标值不够准确。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bCs/>
          <w:color w:val="FF0000"/>
          <w:sz w:val="32"/>
          <w:szCs w:val="32"/>
          <w:shd w:val="clear" w:color="auto" w:fill="FFFFFF"/>
        </w:rPr>
      </w:pPr>
      <w:r>
        <w:rPr>
          <w:rFonts w:hint="eastAsia" w:ascii="仿宋_GB2312" w:hAnsi="仿宋_GB2312" w:eastAsia="仿宋_GB2312" w:cs="仿宋_GB2312"/>
          <w:sz w:val="32"/>
          <w:szCs w:val="32"/>
          <w:shd w:val="clear" w:color="auto" w:fill="FFFFFF"/>
        </w:rPr>
        <w:t>2.财政结转结余资金较大，预算执行进度与财政序时进度有较大差异。主要是下属学校因客观原因导致基建项目的资金使用进度迟缓，造成整个部门的预算执行进度与财政要求的序时进度差异较大。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财政专项资金分配进度较低，支付进度与预算执行的要求有较大差距。2020年，省供销社与省财政共管的省级综改资金9090万元因重新修订资金管理办法，于12月底才实现转移支付，导致该笔财政专项资金的分配进度较低、执行进度延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部门预算经费不足。供销社系统改革任务繁重，在目前有限的经费预算中，缺少专门针对体现供销社行业管理特性方面的项目预算。一是供销社履行重要农业生产资料经营管理。如农资供应市场监测等工作；二是供销社完善行业治理体系。如监事会开展社情民意调查，为维护农民社员利益建立基层社社务管理系统，为落实社有资产监管工作搭建全省供销社社有资产监管平台等相关工作。这些工作的开展都需要专门的经费来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宋体" w:eastAsia="楷体_GB2312"/>
          <w:sz w:val="32"/>
          <w:szCs w:val="32"/>
          <w:shd w:val="clear" w:color="auto" w:fill="FFFFFF"/>
          <w:lang w:eastAsia="zh-CN"/>
        </w:rPr>
      </w:pPr>
      <w:r>
        <w:rPr>
          <w:rFonts w:hint="eastAsia" w:ascii="楷体_GB2312" w:hAnsi="宋体" w:eastAsia="楷体_GB2312"/>
          <w:sz w:val="32"/>
          <w:szCs w:val="32"/>
          <w:shd w:val="clear" w:color="auto" w:fill="FFFFFF"/>
        </w:rPr>
        <w:t>（三）改进建议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强化部门预算绩效管理。一是围绕部门职能职责、行业发展规划和工作任务，严格按照预算支出标准和绩效管理等相关规定编制部门预算；二是建立健全专项资金管理使用绩效定期报告制度。对实施期超过1年的重大项目实行全周期跟踪问效，建立动态评价调整机制；三是加强绩效运行监控，对绩效目标实现程度和预算执行进度实行“双监控”；四是深入开展绩效评价、强化评价结果应用，将结果用于调整预算安排、增减预算规模和优化支出结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强化部门预算执行监管。将预算编制与部门履职要求和事业计划相结合，合理安排资金支出，进一步强化预算执行，严格按项目进度执行预算，对预算执行进行日常监管，增强预算执行的规范性和严肃性。完善项目库管理，坚持“先有项目再安排预算”，业务处室强化项目主体责任，加强与财务部门的沟通协调和项目实施。财务部门按月通报预算执行进度，定期做好项目执行分析，比照预算执行差异，及时纠正预算执行偏差，敦促业务处室加快预算的执行进度，减少存量资金，切实提高预算完成率及资金使用效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shd w:val="clear" w:color="auto" w:fill="FFFFFF"/>
        </w:rPr>
        <w:t>3.加强培训交流，提高业务水平。建议省财政进一步加大对绩效管理部门的业务支持和指导，通过组织业务培训、专题会议等形式，提高各省级部门的预算绩效管理水平和实务操作能力。</w:t>
      </w:r>
    </w:p>
    <w:p>
      <w:pPr>
        <w:pageBreakBefore w:val="0"/>
        <w:kinsoku/>
        <w:wordWrap/>
        <w:overflowPunct/>
        <w:topLinePunct w:val="0"/>
        <w:bidi w:val="0"/>
        <w:spacing w:line="580" w:lineRule="exact"/>
        <w:textAlignment w:val="auto"/>
        <w:rPr>
          <w:rFonts w:ascii="仿宋_GB2312" w:hAnsi="仿宋_GB2312" w:eastAsia="仿宋_GB2312" w:cs="仿宋_GB2312"/>
          <w:color w:val="auto"/>
          <w:sz w:val="30"/>
          <w:szCs w:val="30"/>
        </w:rPr>
      </w:pPr>
      <w:r>
        <w:rPr>
          <w:rFonts w:hint="eastAsia" w:ascii="黑体" w:hAnsi="黑体" w:eastAsia="黑体" w:cs="黑体"/>
          <w:color w:val="auto"/>
          <w:sz w:val="30"/>
          <w:szCs w:val="30"/>
        </w:rPr>
        <w:t>附件2</w:t>
      </w:r>
    </w:p>
    <w:p>
      <w:pPr>
        <w:pageBreakBefore w:val="0"/>
        <w:kinsoku/>
        <w:wordWrap/>
        <w:overflowPunct/>
        <w:topLinePunct w:val="0"/>
        <w:bidi w:val="0"/>
        <w:spacing w:line="580" w:lineRule="exact"/>
        <w:ind w:firstLine="600" w:firstLineChars="200"/>
        <w:textAlignment w:val="auto"/>
        <w:rPr>
          <w:rFonts w:ascii="仿宋_GB2312" w:hAnsi="仿宋_GB2312" w:eastAsia="仿宋_GB2312" w:cs="仿宋_GB2312"/>
          <w:color w:val="0000FF"/>
          <w:sz w:val="30"/>
          <w:szCs w:val="30"/>
        </w:rPr>
      </w:pPr>
    </w:p>
    <w:p>
      <w:pPr>
        <w:adjustRightInd w:val="0"/>
        <w:snapToGrid w:val="0"/>
        <w:spacing w:line="580" w:lineRule="exact"/>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2020年省级供销综合改革及发展专项</w:t>
      </w:r>
    </w:p>
    <w:p>
      <w:pPr>
        <w:adjustRightInd w:val="0"/>
        <w:snapToGrid w:val="0"/>
        <w:spacing w:line="580" w:lineRule="exact"/>
        <w:jc w:val="center"/>
        <w:rPr>
          <w:rFonts w:ascii="方正小标宋简体" w:hAnsi="方正小标宋简体" w:eastAsia="方正小标宋简体" w:cs="方正小标宋简体"/>
          <w:b/>
          <w:sz w:val="44"/>
          <w:szCs w:val="44"/>
          <w:lang w:val="zh-CN"/>
        </w:rPr>
      </w:pPr>
      <w:r>
        <w:rPr>
          <w:rFonts w:hint="eastAsia" w:ascii="方正小标宋简体" w:hAnsi="方正小标宋简体" w:eastAsia="方正小标宋简体" w:cs="方正小标宋简体"/>
          <w:b/>
          <w:sz w:val="44"/>
          <w:szCs w:val="44"/>
          <w:lang w:val="zh-CN"/>
        </w:rPr>
        <w:t>支出绩效自评报告</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黑体" w:hAnsi="宋体" w:eastAsia="黑体"/>
          <w:b w:val="0"/>
          <w:bCs/>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ascii="黑体" w:hAnsi="宋体" w:eastAsia="黑体"/>
          <w:b w:val="0"/>
          <w:bCs/>
          <w:sz w:val="32"/>
          <w:szCs w:val="32"/>
          <w:lang w:val="zh-CN"/>
        </w:rPr>
      </w:pPr>
      <w:r>
        <w:rPr>
          <w:rFonts w:hint="eastAsia" w:ascii="黑体" w:hAnsi="宋体" w:eastAsia="黑体"/>
          <w:b w:val="0"/>
          <w:bCs/>
          <w:sz w:val="32"/>
          <w:szCs w:val="32"/>
        </w:rPr>
        <w:t>一、</w:t>
      </w:r>
      <w:r>
        <w:rPr>
          <w:rFonts w:hint="eastAsia" w:ascii="黑体" w:hAnsi="宋体" w:eastAsia="黑体"/>
          <w:b w:val="0"/>
          <w:bCs/>
          <w:sz w:val="32"/>
          <w:szCs w:val="32"/>
          <w:lang w:val="zh-CN"/>
        </w:rPr>
        <w:t>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ascii="楷体_GB2312" w:hAnsi="宋体" w:eastAsia="楷体_GB2312"/>
          <w:b w:val="0"/>
          <w:bCs/>
          <w:sz w:val="32"/>
          <w:szCs w:val="32"/>
          <w:lang w:val="zh-CN"/>
        </w:rPr>
      </w:pPr>
      <w:r>
        <w:rPr>
          <w:rFonts w:hint="eastAsia" w:ascii="楷体_GB2312" w:hAnsi="宋体" w:eastAsia="楷体_GB2312"/>
          <w:b w:val="0"/>
          <w:bCs/>
          <w:sz w:val="32"/>
          <w:szCs w:val="32"/>
          <w:lang w:val="zh-CN"/>
        </w:rPr>
        <w:t>（一）项目基本情况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ascii="仿宋_GB2312" w:hAnsi="仿宋_GB2312" w:eastAsia="仿宋_GB2312" w:cs="仿宋_GB2312"/>
          <w:b w:val="0"/>
          <w:bCs/>
          <w:sz w:val="32"/>
          <w:szCs w:val="32"/>
          <w:lang w:val="zh-CN"/>
        </w:rPr>
      </w:pP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val="zh-CN"/>
        </w:rPr>
        <w:t>供销社在该项目管理中的职能。</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ascii="仿宋_GB2312" w:hAnsi="仿宋_GB2312" w:eastAsia="仿宋_GB2312" w:cs="仿宋_GB2312"/>
          <w:b w:val="0"/>
          <w:bCs/>
          <w:sz w:val="32"/>
          <w:szCs w:val="32"/>
          <w:lang w:val="zh-CN"/>
        </w:rPr>
      </w:pPr>
      <w:r>
        <w:rPr>
          <w:rFonts w:hint="eastAsia" w:ascii="仿宋_GB2312" w:hAnsi="仿宋_GB2312" w:eastAsia="仿宋_GB2312" w:cs="仿宋_GB2312"/>
          <w:b w:val="0"/>
          <w:bCs/>
          <w:sz w:val="32"/>
          <w:szCs w:val="32"/>
          <w:lang w:val="zh-CN"/>
        </w:rPr>
        <w:t>省供销社按照省委、省政府决策部署，提出年度重点支持计划，商财政厅后，提出专项资金年度预算分配草案，经财政厅审核后报省人民代表大会审议；负责建立项目评审专家库，对专家、中介机构和项目单位实行负面清单管理制度；负责组织项目的申报和审查；提供资金分配所需的基础材料和数据，协助制定相关预算支出标准；制定专项资金年度整体绩效目标和项目绩效目标，建立绩效指标和标准体系；组织实施专项资金项目年度绩效自评。地方供销部门负责项目申报、组织实施和监督管理；组织实施本地区专项资金项目年度绩效自评。</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ascii="仿宋_GB2312" w:hAnsi="宋体"/>
          <w:b w:val="0"/>
          <w:bCs/>
          <w:sz w:val="32"/>
          <w:szCs w:val="32"/>
          <w:lang w:val="zh-CN"/>
        </w:rPr>
      </w:pPr>
      <w:r>
        <w:rPr>
          <w:rFonts w:hint="eastAsia" w:ascii="仿宋_GB2312" w:hAnsi="仿宋_GB2312" w:eastAsia="仿宋_GB2312" w:cs="仿宋_GB2312"/>
          <w:b w:val="0"/>
          <w:bCs/>
          <w:sz w:val="32"/>
          <w:szCs w:val="32"/>
        </w:rPr>
        <w:t>2.</w:t>
      </w:r>
      <w:r>
        <w:rPr>
          <w:rFonts w:hint="eastAsia" w:ascii="仿宋_GB2312" w:hAnsi="仿宋_GB2312" w:eastAsia="仿宋_GB2312" w:cs="仿宋_GB2312"/>
          <w:b w:val="0"/>
          <w:bCs/>
          <w:sz w:val="32"/>
          <w:szCs w:val="32"/>
          <w:lang w:val="zh-CN"/>
        </w:rPr>
        <w:t>项目立项、资金申报的依据。</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仿宋_GB2312" w:eastAsia="仿宋_GB2312" w:cs="仿宋_GB2312"/>
          <w:b w:val="0"/>
          <w:bCs/>
          <w:sz w:val="32"/>
          <w:szCs w:val="32"/>
        </w:rPr>
      </w:pPr>
      <w:r>
        <w:rPr>
          <w:rFonts w:hint="eastAsia" w:ascii="仿宋_GB2312" w:hAnsi="宋体"/>
          <w:b w:val="0"/>
          <w:bCs/>
          <w:sz w:val="32"/>
          <w:szCs w:val="32"/>
        </w:rPr>
        <w:t xml:space="preserve">    </w:t>
      </w:r>
      <w:r>
        <w:rPr>
          <w:rFonts w:hint="eastAsia" w:ascii="仿宋_GB2312" w:hAnsi="仿宋_GB2312" w:eastAsia="仿宋_GB2312" w:cs="仿宋_GB2312"/>
          <w:b w:val="0"/>
          <w:bCs/>
          <w:sz w:val="32"/>
          <w:szCs w:val="32"/>
        </w:rPr>
        <w:t>一是对下转移支付资金7681万元。根据《资金管理办法》（川财建〔2020〕408号）相关规定，按照因素分配法进行测算，安排各市州合计4181万元；依据省委、省政府确定的特殊事项，按照特定法安排产业扶贫专项资金3000万元，以及“三社融合”试点资金500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（1）根据全国供销总社印发的《供销合作社培育壮大工程实施意见》和“四社”创建部署要求，支持全省供销系统综合改革，安排4181万元。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w:t>
      </w:r>
      <w:r>
        <w:rPr>
          <w:rFonts w:ascii="仿宋_GB2312" w:hAnsi="仿宋_GB2312" w:eastAsia="仿宋_GB2312" w:cs="仿宋_GB2312"/>
          <w:b w:val="0"/>
          <w:bCs/>
          <w:sz w:val="32"/>
          <w:szCs w:val="32"/>
        </w:rPr>
        <w:t>省农业和农村体制改革专项小组办公室印发《关于开展“三社”融合促进农村集体经济发展壮大试点的实施方案》，支持泸县、犍为县、宜宾市叙州区、通江县、雅安市雨城区5个县（区）开展“三社”融合试点</w:t>
      </w:r>
      <w:r>
        <w:rPr>
          <w:rFonts w:hint="eastAsia" w:ascii="仿宋_GB2312" w:hAnsi="仿宋_GB2312" w:eastAsia="仿宋_GB2312" w:cs="仿宋_GB2312"/>
          <w:b w:val="0"/>
          <w:bCs/>
          <w:sz w:val="32"/>
          <w:szCs w:val="32"/>
        </w:rPr>
        <w:t>，安排500万元。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为贯彻落实省脱贫攻坚办《关于印发〈深度贫困县脱贫攻坚专项2020年实施方案〉的通知》（川脱贫办发〔2020〕10号）工作要求，省社制定了《深度贫困县脱贫攻坚产业扶贫专项供销扶贫2020年度攻坚方案》，在乐山市金口河区，阿坝州阿坝县、壤塘县，凉山州甘洛县、盐源县、木里县、普格县，甘孜州九龙县、新龙县、德格县、白玉县、石渠县、色达县、理塘县、得荣县等15个深度贫困县重点建设供销社为农服务中心（含农村电商体验中心）和基层社经营服务网络体系，安排3000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二是用于省级应急救灾资金909万元。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三是为疫情期间稳价保供，补助省级化肥、棉花商业储备贴息补助500万元。其中：化肥储备贴息300万元，棉花储备贴息200万元。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sz w:val="32"/>
          <w:szCs w:val="32"/>
          <w:lang w:val="zh-CN"/>
        </w:rPr>
      </w:pPr>
      <w:r>
        <w:rPr>
          <w:rFonts w:hint="eastAsia" w:ascii="仿宋_GB2312" w:hAnsi="仿宋_GB2312" w:eastAsia="仿宋_GB2312" w:cs="仿宋_GB2312"/>
          <w:b w:val="0"/>
          <w:bCs/>
          <w:sz w:val="32"/>
          <w:szCs w:val="32"/>
        </w:rPr>
        <w:t>3.</w:t>
      </w:r>
      <w:r>
        <w:rPr>
          <w:rFonts w:hint="eastAsia" w:ascii="仿宋_GB2312" w:hAnsi="仿宋_GB2312" w:eastAsia="仿宋_GB2312" w:cs="仿宋_GB2312"/>
          <w:b w:val="0"/>
          <w:bCs/>
          <w:sz w:val="32"/>
          <w:szCs w:val="32"/>
          <w:lang w:val="zh-CN"/>
        </w:rPr>
        <w:t>资金管理办法制定情况，资金支持具体项目的条件、范围与支持方式概况。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sz w:val="32"/>
          <w:szCs w:val="32"/>
          <w:lang w:val="zh-CN"/>
        </w:rPr>
      </w:pPr>
      <w:r>
        <w:rPr>
          <w:rFonts w:hint="eastAsia" w:ascii="仿宋_GB2312" w:hAnsi="仿宋_GB2312" w:eastAsia="仿宋_GB2312" w:cs="仿宋_GB2312"/>
          <w:b w:val="0"/>
          <w:bCs/>
          <w:sz w:val="32"/>
          <w:szCs w:val="32"/>
          <w:lang w:val="zh-CN"/>
        </w:rPr>
        <w:t>专项资金紧密围绕省委省政府重大决策部署，主要用于支持各级供销社及供销社基层组织提升为农服务能力。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sz w:val="32"/>
          <w:szCs w:val="32"/>
          <w:lang w:val="zh-CN"/>
        </w:rPr>
      </w:pPr>
      <w:r>
        <w:rPr>
          <w:rFonts w:hint="eastAsia" w:ascii="仿宋_GB2312" w:hAnsi="仿宋_GB2312" w:eastAsia="仿宋_GB2312" w:cs="仿宋_GB2312"/>
          <w:b w:val="0"/>
          <w:bCs/>
          <w:sz w:val="32"/>
          <w:szCs w:val="32"/>
          <w:lang w:val="zh-CN"/>
        </w:rPr>
        <w:t>（</w:t>
      </w: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val="zh-CN"/>
        </w:rPr>
        <w:t>）现代流通服务体系建设。采取先建后补方式，支持供销社系统化肥、农药、农膜、种子、农机具等农业生产资料经营业务和农副产品收购、储存、加工、销售等经营业务的流通设施、经营网点建设，支持电子商务、信息服务的应用和推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sz w:val="32"/>
          <w:szCs w:val="32"/>
          <w:lang w:val="zh-CN"/>
        </w:rPr>
      </w:pPr>
      <w:r>
        <w:rPr>
          <w:rFonts w:hint="eastAsia" w:ascii="仿宋_GB2312" w:hAnsi="仿宋_GB2312" w:eastAsia="仿宋_GB2312" w:cs="仿宋_GB2312"/>
          <w:b w:val="0"/>
          <w:bCs/>
          <w:sz w:val="32"/>
          <w:szCs w:val="32"/>
          <w:lang w:val="zh-CN"/>
        </w:rPr>
        <w:t>（</w:t>
      </w:r>
      <w:r>
        <w:rPr>
          <w:rFonts w:hint="eastAsia" w:ascii="仿宋_GB2312" w:hAnsi="仿宋_GB2312" w:eastAsia="仿宋_GB2312" w:cs="仿宋_GB2312"/>
          <w:b w:val="0"/>
          <w:bCs/>
          <w:sz w:val="32"/>
          <w:szCs w:val="32"/>
        </w:rPr>
        <w:t>2</w:t>
      </w:r>
      <w:r>
        <w:rPr>
          <w:rFonts w:hint="eastAsia" w:ascii="仿宋_GB2312" w:hAnsi="仿宋_GB2312" w:eastAsia="仿宋_GB2312" w:cs="仿宋_GB2312"/>
          <w:b w:val="0"/>
          <w:bCs/>
          <w:sz w:val="32"/>
          <w:szCs w:val="32"/>
          <w:lang w:val="zh-CN"/>
        </w:rPr>
        <w:t>）基层组织建设。采取以奖代补方式，支持基层供销社与农民专业合作社、村集体经济组织融合发展，推动“三社融合”试点，带动集体经济发展壮大。支持县级供销社按照全国供销总社建设标准，开展基层社“标杆社”和领办创办农民专业合作社“示范社”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sz w:val="32"/>
          <w:szCs w:val="32"/>
          <w:lang w:val="zh-CN"/>
        </w:rPr>
      </w:pPr>
      <w:r>
        <w:rPr>
          <w:rFonts w:hint="eastAsia" w:ascii="仿宋_GB2312" w:hAnsi="仿宋_GB2312" w:eastAsia="仿宋_GB2312" w:cs="仿宋_GB2312"/>
          <w:b w:val="0"/>
          <w:bCs/>
          <w:sz w:val="32"/>
          <w:szCs w:val="32"/>
          <w:lang w:val="zh-CN"/>
        </w:rPr>
        <w:t>（</w:t>
      </w:r>
      <w:r>
        <w:rPr>
          <w:rFonts w:hint="eastAsia" w:ascii="仿宋_GB2312" w:hAnsi="仿宋_GB2312" w:eastAsia="仿宋_GB2312" w:cs="仿宋_GB2312"/>
          <w:b w:val="0"/>
          <w:bCs/>
          <w:sz w:val="32"/>
          <w:szCs w:val="32"/>
        </w:rPr>
        <w:t>3</w:t>
      </w:r>
      <w:r>
        <w:rPr>
          <w:rFonts w:hint="eastAsia" w:ascii="仿宋_GB2312" w:hAnsi="仿宋_GB2312" w:eastAsia="仿宋_GB2312" w:cs="仿宋_GB2312"/>
          <w:b w:val="0"/>
          <w:bCs/>
          <w:sz w:val="32"/>
          <w:szCs w:val="32"/>
          <w:lang w:val="zh-CN"/>
        </w:rPr>
        <w:t>）县域综合服务体系建设。采取以奖代补方式，支持县级供销社延伸服务链条、拓展服务领域、发展综合服务，开展代耕、代种、代收、代储、代加工等全程一体化农事服务，为农村小微经济组织提供代理代办、管理咨询、业务培训、品牌营销等服务，促进和带动县域农业社会化服务，帮助服务对象降本增效和农民增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sz w:val="32"/>
          <w:szCs w:val="32"/>
          <w:lang w:val="zh-CN"/>
        </w:rPr>
      </w:pPr>
      <w:r>
        <w:rPr>
          <w:rFonts w:hint="eastAsia" w:ascii="仿宋_GB2312" w:hAnsi="仿宋_GB2312" w:eastAsia="仿宋_GB2312" w:cs="仿宋_GB2312"/>
          <w:b w:val="0"/>
          <w:bCs/>
          <w:sz w:val="32"/>
          <w:szCs w:val="32"/>
          <w:lang w:val="zh-CN"/>
        </w:rPr>
        <w:t>（</w:t>
      </w:r>
      <w:r>
        <w:rPr>
          <w:rFonts w:hint="eastAsia" w:ascii="仿宋_GB2312" w:hAnsi="仿宋_GB2312" w:eastAsia="仿宋_GB2312" w:cs="仿宋_GB2312"/>
          <w:b w:val="0"/>
          <w:bCs/>
          <w:sz w:val="32"/>
          <w:szCs w:val="32"/>
        </w:rPr>
        <w:t>4</w:t>
      </w:r>
      <w:r>
        <w:rPr>
          <w:rFonts w:hint="eastAsia" w:ascii="仿宋_GB2312" w:hAnsi="仿宋_GB2312" w:eastAsia="仿宋_GB2312" w:cs="仿宋_GB2312"/>
          <w:b w:val="0"/>
          <w:bCs/>
          <w:sz w:val="32"/>
          <w:szCs w:val="32"/>
          <w:lang w:val="zh-CN"/>
        </w:rPr>
        <w:t>）省委、省政府确定的其他项目。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sz w:val="32"/>
          <w:szCs w:val="32"/>
          <w:lang w:val="zh-CN"/>
        </w:rPr>
      </w:pPr>
      <w:r>
        <w:rPr>
          <w:rFonts w:hint="eastAsia" w:ascii="仿宋_GB2312" w:hAnsi="仿宋_GB2312" w:eastAsia="仿宋_GB2312" w:cs="仿宋_GB2312"/>
          <w:b w:val="0"/>
          <w:bCs/>
          <w:sz w:val="32"/>
          <w:szCs w:val="32"/>
        </w:rPr>
        <w:t>4.</w:t>
      </w:r>
      <w:r>
        <w:rPr>
          <w:rFonts w:hint="eastAsia" w:ascii="仿宋_GB2312" w:hAnsi="仿宋_GB2312" w:eastAsia="仿宋_GB2312" w:cs="仿宋_GB2312"/>
          <w:b w:val="0"/>
          <w:bCs/>
          <w:sz w:val="32"/>
          <w:szCs w:val="32"/>
          <w:lang w:val="zh-CN"/>
        </w:rPr>
        <w:t>资金分配的原则及考虑因素。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zh-CN"/>
        </w:rPr>
        <w:t>专项资金应按照“集中财力办大事要事”的基本思路进行分配管理，充分体现“规划引领、突出重点、体现差异、强化绩效”的安排原则。</w:t>
      </w:r>
      <w:r>
        <w:rPr>
          <w:rFonts w:hint="eastAsia" w:ascii="仿宋_GB2312" w:hAnsi="仿宋_GB2312" w:eastAsia="仿宋_GB2312" w:cs="仿宋_GB2312"/>
          <w:b w:val="0"/>
          <w:bCs/>
          <w:sz w:val="32"/>
          <w:szCs w:val="32"/>
        </w:rPr>
        <w:t>主要采用项目法、因素法和特定法进行资金分配。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_GB2312" w:hAnsi="宋体" w:eastAsia="楷体_GB2312"/>
          <w:b w:val="0"/>
          <w:bCs/>
          <w:sz w:val="32"/>
          <w:szCs w:val="32"/>
          <w:lang w:val="zh-CN"/>
        </w:rPr>
      </w:pPr>
      <w:r>
        <w:rPr>
          <w:rFonts w:hint="eastAsia" w:ascii="楷体_GB2312" w:hAnsi="宋体" w:eastAsia="楷体_GB2312"/>
          <w:b w:val="0"/>
          <w:bCs/>
          <w:sz w:val="32"/>
          <w:szCs w:val="32"/>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sz w:val="32"/>
          <w:szCs w:val="32"/>
          <w:lang w:val="zh-CN"/>
        </w:rPr>
      </w:pP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val="zh-CN"/>
        </w:rPr>
        <w:t>项目主要内容。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2020年省级综改资金主要用于五个部分：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是全省供销系统综合改革专项4181万元。用于支持基层社标杆社和农民专业合作社示范社建设；支持供销社系统农资、农副产品流通设施和经营网点建设，电子商务、信息服务应用推广；支持县级供销社拓展综合性为农服务，开展农事（土地）托管服务，新型经营主体代理代办、管理咨询等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二是</w:t>
      </w:r>
      <w:r>
        <w:rPr>
          <w:rFonts w:ascii="仿宋_GB2312" w:hAnsi="仿宋_GB2312" w:eastAsia="仿宋_GB2312" w:cs="仿宋_GB2312"/>
          <w:b w:val="0"/>
          <w:bCs/>
          <w:sz w:val="32"/>
          <w:szCs w:val="32"/>
        </w:rPr>
        <w:t>支持泸县、犍为县、宜宾市叙州区、通江县、雅安市雨城区5个县（区）开展“三社”融合试点</w:t>
      </w:r>
      <w:r>
        <w:rPr>
          <w:rFonts w:hint="eastAsia" w:ascii="仿宋_GB2312" w:hAnsi="仿宋_GB2312" w:eastAsia="仿宋_GB2312" w:cs="仿宋_GB2312"/>
          <w:b w:val="0"/>
          <w:bCs/>
          <w:sz w:val="32"/>
          <w:szCs w:val="32"/>
        </w:rPr>
        <w:t>500万元；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三是支持15个深度贫困县脱贫攻坚3000万元。每个县200万元的标准补助用于15个深度贫困县建设为农服务中心（含农村电商体验中心）和基层社经营服务网络体系；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四是化肥储备贴息300万元，棉花储备贴息200万元；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是使用省级应急资金用于抗洪救灾415万元。其中：成都市45万元，绵阳市80万元，德阳市55万元，雅安市100万元，四川省商贸学校65万元，四川省贸易学校70万元（应急资金预留909万元，申请拨付415万元，结余494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sz w:val="32"/>
          <w:szCs w:val="32"/>
          <w:lang w:val="zh-CN"/>
        </w:rPr>
      </w:pPr>
      <w:r>
        <w:rPr>
          <w:rFonts w:hint="eastAsia" w:ascii="仿宋_GB2312" w:hAnsi="仿宋_GB2312" w:eastAsia="仿宋_GB2312" w:cs="仿宋_GB2312"/>
          <w:b w:val="0"/>
          <w:bCs/>
          <w:sz w:val="32"/>
          <w:szCs w:val="32"/>
        </w:rPr>
        <w:t>2.</w:t>
      </w:r>
      <w:r>
        <w:rPr>
          <w:rFonts w:hint="eastAsia" w:ascii="仿宋_GB2312" w:hAnsi="仿宋_GB2312" w:eastAsia="仿宋_GB2312" w:cs="仿宋_GB2312"/>
          <w:b w:val="0"/>
          <w:bCs/>
          <w:sz w:val="32"/>
          <w:szCs w:val="32"/>
          <w:lang w:val="zh-CN"/>
        </w:rPr>
        <w:t>项目应实现的具体绩效目标。</w:t>
      </w:r>
    </w:p>
    <w:tbl>
      <w:tblPr>
        <w:tblStyle w:val="13"/>
        <w:tblpPr w:leftFromText="180" w:rightFromText="180" w:vertAnchor="text" w:horzAnchor="margin" w:tblpXSpec="center" w:tblpY="1"/>
        <w:tblW w:w="8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5326"/>
        <w:gridCol w:w="2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9" w:type="dxa"/>
            <w:noWrap w:val="0"/>
            <w:vAlign w:val="center"/>
          </w:tcPr>
          <w:p>
            <w:pPr>
              <w:adjustRightInd w:val="0"/>
              <w:snapToGrid w:val="0"/>
              <w:spacing w:line="560" w:lineRule="exact"/>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序号</w:t>
            </w:r>
          </w:p>
        </w:tc>
        <w:tc>
          <w:tcPr>
            <w:tcW w:w="5326" w:type="dxa"/>
            <w:noWrap w:val="0"/>
            <w:vAlign w:val="center"/>
          </w:tcPr>
          <w:p>
            <w:pPr>
              <w:adjustRightInd w:val="0"/>
              <w:snapToGrid w:val="0"/>
              <w:spacing w:line="560" w:lineRule="exact"/>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sz w:val="28"/>
                <w:szCs w:val="28"/>
              </w:rPr>
              <w:t>供销社系统综合改革绩效目标</w:t>
            </w:r>
            <w:r>
              <w:rPr>
                <w:rFonts w:hint="eastAsia" w:ascii="仿宋_GB2312" w:hAnsi="仿宋_GB2312" w:eastAsia="仿宋_GB2312" w:cs="仿宋_GB2312"/>
                <w:b w:val="0"/>
                <w:bCs w:val="0"/>
                <w:kern w:val="0"/>
                <w:sz w:val="28"/>
                <w:szCs w:val="28"/>
              </w:rPr>
              <w:t>（4181万元）</w:t>
            </w:r>
          </w:p>
        </w:tc>
        <w:tc>
          <w:tcPr>
            <w:tcW w:w="2540" w:type="dxa"/>
            <w:noWrap w:val="0"/>
            <w:vAlign w:val="center"/>
          </w:tcPr>
          <w:p>
            <w:pPr>
              <w:adjustRightInd w:val="0"/>
              <w:snapToGrid w:val="0"/>
              <w:spacing w:line="560" w:lineRule="exact"/>
              <w:ind w:firstLine="840" w:firstLineChars="300"/>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9" w:type="dxa"/>
            <w:noWrap w:val="0"/>
            <w:vAlign w:val="center"/>
          </w:tcPr>
          <w:p>
            <w:pPr>
              <w:adjustRightInd w:val="0"/>
              <w:snapToGrid w:val="0"/>
              <w:spacing w:line="560" w:lineRule="exact"/>
              <w:jc w:val="center"/>
              <w:rPr>
                <w:rFonts w:hint="eastAsia" w:ascii="仿宋_GB2312" w:hAnsi="仿宋_GB2312" w:eastAsia="仿宋_GB2312" w:cs="仿宋_GB2312"/>
                <w:b w:val="0"/>
                <w:bCs w:val="0"/>
                <w:sz w:val="28"/>
                <w:szCs w:val="28"/>
                <w:lang w:val="zh-CN"/>
              </w:rPr>
            </w:pPr>
            <w:r>
              <w:rPr>
                <w:rFonts w:hint="eastAsia" w:ascii="仿宋_GB2312" w:hAnsi="仿宋_GB2312" w:eastAsia="仿宋_GB2312" w:cs="仿宋_GB2312"/>
                <w:b w:val="0"/>
                <w:bCs w:val="0"/>
                <w:sz w:val="28"/>
                <w:szCs w:val="28"/>
              </w:rPr>
              <w:t>1</w:t>
            </w:r>
          </w:p>
        </w:tc>
        <w:tc>
          <w:tcPr>
            <w:tcW w:w="5326" w:type="dxa"/>
            <w:noWrap w:val="0"/>
            <w:vAlign w:val="center"/>
          </w:tcPr>
          <w:p>
            <w:pPr>
              <w:adjustRightInd w:val="0"/>
              <w:snapToGrid w:val="0"/>
              <w:spacing w:line="560" w:lineRule="exact"/>
              <w:jc w:val="left"/>
              <w:rPr>
                <w:rFonts w:hint="eastAsia" w:ascii="仿宋_GB2312" w:hAnsi="仿宋_GB2312" w:eastAsia="仿宋_GB2312" w:cs="仿宋_GB2312"/>
                <w:b w:val="0"/>
                <w:bCs w:val="0"/>
                <w:sz w:val="28"/>
                <w:szCs w:val="28"/>
                <w:lang w:val="zh-CN"/>
              </w:rPr>
            </w:pPr>
            <w:r>
              <w:rPr>
                <w:rFonts w:hint="eastAsia" w:ascii="仿宋_GB2312" w:hAnsi="仿宋_GB2312" w:eastAsia="仿宋_GB2312" w:cs="仿宋_GB2312"/>
                <w:b w:val="0"/>
                <w:bCs w:val="0"/>
                <w:sz w:val="28"/>
                <w:szCs w:val="28"/>
                <w:lang w:val="zh-CN"/>
              </w:rPr>
              <w:t>新增基层社标杆社、合作社示范社数量</w:t>
            </w:r>
          </w:p>
        </w:tc>
        <w:tc>
          <w:tcPr>
            <w:tcW w:w="2540" w:type="dxa"/>
            <w:noWrap w:val="0"/>
            <w:vAlign w:val="center"/>
          </w:tcPr>
          <w:p>
            <w:pPr>
              <w:adjustRightInd w:val="0"/>
              <w:snapToGrid w:val="0"/>
              <w:spacing w:line="560" w:lineRule="exact"/>
              <w:jc w:val="right"/>
              <w:rPr>
                <w:rFonts w:hint="eastAsia" w:ascii="仿宋_GB2312" w:hAnsi="仿宋_GB2312" w:eastAsia="仿宋_GB2312" w:cs="仿宋_GB2312"/>
                <w:b w:val="0"/>
                <w:bCs w:val="0"/>
                <w:sz w:val="30"/>
                <w:szCs w:val="30"/>
                <w:lang w:val="zh-CN"/>
              </w:rPr>
            </w:pPr>
            <w:r>
              <w:rPr>
                <w:rFonts w:hint="eastAsia" w:ascii="仿宋_GB2312" w:hAnsi="仿宋_GB2312" w:eastAsia="仿宋_GB2312" w:cs="仿宋_GB2312"/>
                <w:b w:val="0"/>
                <w:bCs w:val="0"/>
                <w:sz w:val="30"/>
                <w:szCs w:val="30"/>
                <w:lang w:val="zh-CN"/>
              </w:rPr>
              <w:t>≥60个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9" w:type="dxa"/>
            <w:noWrap w:val="0"/>
            <w:vAlign w:val="center"/>
          </w:tcPr>
          <w:p>
            <w:pPr>
              <w:adjustRightInd w:val="0"/>
              <w:snapToGrid w:val="0"/>
              <w:spacing w:line="560" w:lineRule="exact"/>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w:t>
            </w:r>
          </w:p>
        </w:tc>
        <w:tc>
          <w:tcPr>
            <w:tcW w:w="5326" w:type="dxa"/>
            <w:noWrap w:val="0"/>
            <w:vAlign w:val="center"/>
          </w:tcPr>
          <w:p>
            <w:pPr>
              <w:adjustRightInd w:val="0"/>
              <w:snapToGrid w:val="0"/>
              <w:spacing w:line="560" w:lineRule="exact"/>
              <w:jc w:val="left"/>
              <w:rPr>
                <w:rFonts w:hint="eastAsia" w:ascii="仿宋_GB2312" w:hAnsi="仿宋_GB2312" w:eastAsia="仿宋_GB2312" w:cs="仿宋_GB2312"/>
                <w:b w:val="0"/>
                <w:bCs w:val="0"/>
                <w:sz w:val="28"/>
                <w:szCs w:val="28"/>
                <w:lang w:val="zh-CN"/>
              </w:rPr>
            </w:pPr>
            <w:r>
              <w:rPr>
                <w:rFonts w:hint="eastAsia" w:ascii="仿宋_GB2312" w:hAnsi="仿宋_GB2312" w:eastAsia="仿宋_GB2312" w:cs="仿宋_GB2312"/>
                <w:b w:val="0"/>
                <w:bCs w:val="0"/>
                <w:sz w:val="28"/>
                <w:szCs w:val="28"/>
                <w:lang w:val="zh-CN"/>
              </w:rPr>
              <w:t>新增农事服务土地面积</w:t>
            </w:r>
          </w:p>
        </w:tc>
        <w:tc>
          <w:tcPr>
            <w:tcW w:w="2540" w:type="dxa"/>
            <w:noWrap w:val="0"/>
            <w:vAlign w:val="center"/>
          </w:tcPr>
          <w:p>
            <w:pPr>
              <w:adjustRightInd w:val="0"/>
              <w:snapToGrid w:val="0"/>
              <w:spacing w:line="560" w:lineRule="exact"/>
              <w:jc w:val="right"/>
              <w:rPr>
                <w:rFonts w:hint="eastAsia" w:ascii="仿宋_GB2312" w:hAnsi="仿宋_GB2312" w:eastAsia="仿宋_GB2312" w:cs="仿宋_GB2312"/>
                <w:b w:val="0"/>
                <w:bCs w:val="0"/>
                <w:sz w:val="30"/>
                <w:szCs w:val="30"/>
                <w:lang w:val="zh-CN"/>
              </w:rPr>
            </w:pPr>
            <w:r>
              <w:rPr>
                <w:rFonts w:hint="eastAsia" w:ascii="仿宋_GB2312" w:hAnsi="仿宋_GB2312" w:eastAsia="仿宋_GB2312" w:cs="仿宋_GB2312"/>
                <w:b w:val="0"/>
                <w:bCs w:val="0"/>
                <w:sz w:val="30"/>
                <w:szCs w:val="30"/>
                <w:lang w:val="zh-CN"/>
              </w:rPr>
              <w:t>≥100万亩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9" w:type="dxa"/>
            <w:noWrap w:val="0"/>
            <w:vAlign w:val="center"/>
          </w:tcPr>
          <w:p>
            <w:pPr>
              <w:adjustRightInd w:val="0"/>
              <w:snapToGrid w:val="0"/>
              <w:spacing w:line="560" w:lineRule="exact"/>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3</w:t>
            </w:r>
          </w:p>
        </w:tc>
        <w:tc>
          <w:tcPr>
            <w:tcW w:w="5326" w:type="dxa"/>
            <w:noWrap w:val="0"/>
            <w:vAlign w:val="center"/>
          </w:tcPr>
          <w:p>
            <w:pPr>
              <w:adjustRightInd w:val="0"/>
              <w:snapToGrid w:val="0"/>
              <w:spacing w:line="560" w:lineRule="exact"/>
              <w:jc w:val="left"/>
              <w:rPr>
                <w:rFonts w:hint="eastAsia" w:ascii="仿宋_GB2312" w:hAnsi="仿宋_GB2312" w:eastAsia="仿宋_GB2312" w:cs="仿宋_GB2312"/>
                <w:b w:val="0"/>
                <w:bCs w:val="0"/>
                <w:sz w:val="28"/>
                <w:szCs w:val="28"/>
                <w:lang w:val="zh-CN"/>
              </w:rPr>
            </w:pPr>
            <w:r>
              <w:rPr>
                <w:rFonts w:hint="eastAsia" w:ascii="仿宋_GB2312" w:hAnsi="仿宋_GB2312" w:eastAsia="仿宋_GB2312" w:cs="仿宋_GB2312"/>
                <w:b w:val="0"/>
                <w:bCs w:val="0"/>
                <w:sz w:val="28"/>
                <w:szCs w:val="28"/>
                <w:lang w:val="zh-CN"/>
              </w:rPr>
              <w:t>县级全资控股管理咨询中心</w:t>
            </w:r>
          </w:p>
        </w:tc>
        <w:tc>
          <w:tcPr>
            <w:tcW w:w="2540" w:type="dxa"/>
            <w:noWrap w:val="0"/>
            <w:vAlign w:val="center"/>
          </w:tcPr>
          <w:p>
            <w:pPr>
              <w:adjustRightInd w:val="0"/>
              <w:snapToGrid w:val="0"/>
              <w:spacing w:line="560" w:lineRule="exact"/>
              <w:jc w:val="right"/>
              <w:rPr>
                <w:rFonts w:hint="eastAsia" w:ascii="仿宋_GB2312" w:hAnsi="仿宋_GB2312" w:eastAsia="仿宋_GB2312" w:cs="仿宋_GB2312"/>
                <w:b w:val="0"/>
                <w:bCs w:val="0"/>
                <w:sz w:val="30"/>
                <w:szCs w:val="30"/>
                <w:lang w:val="zh-CN"/>
              </w:rPr>
            </w:pPr>
            <w:r>
              <w:rPr>
                <w:rFonts w:hint="eastAsia" w:ascii="仿宋_GB2312" w:hAnsi="仿宋_GB2312" w:eastAsia="仿宋_GB2312" w:cs="仿宋_GB2312"/>
                <w:b w:val="0"/>
                <w:bCs w:val="0"/>
                <w:sz w:val="30"/>
                <w:szCs w:val="30"/>
                <w:lang w:val="zh-CN"/>
              </w:rPr>
              <w:t>≥50个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9" w:type="dxa"/>
            <w:noWrap w:val="0"/>
            <w:vAlign w:val="center"/>
          </w:tcPr>
          <w:p>
            <w:pPr>
              <w:adjustRightInd w:val="0"/>
              <w:snapToGrid w:val="0"/>
              <w:spacing w:line="560" w:lineRule="exact"/>
              <w:jc w:val="center"/>
              <w:rPr>
                <w:rFonts w:hint="eastAsia" w:ascii="仿宋_GB2312" w:hAnsi="仿宋_GB2312" w:eastAsia="仿宋_GB2312" w:cs="仿宋_GB2312"/>
                <w:b w:val="0"/>
                <w:bCs w:val="0"/>
                <w:sz w:val="28"/>
                <w:szCs w:val="28"/>
                <w:lang w:val="zh-CN"/>
              </w:rPr>
            </w:pPr>
            <w:r>
              <w:rPr>
                <w:rFonts w:hint="eastAsia" w:ascii="仿宋_GB2312" w:hAnsi="仿宋_GB2312" w:eastAsia="仿宋_GB2312" w:cs="仿宋_GB2312"/>
                <w:b w:val="0"/>
                <w:bCs w:val="0"/>
                <w:sz w:val="28"/>
                <w:szCs w:val="28"/>
              </w:rPr>
              <w:t>4</w:t>
            </w:r>
          </w:p>
        </w:tc>
        <w:tc>
          <w:tcPr>
            <w:tcW w:w="5326" w:type="dxa"/>
            <w:noWrap w:val="0"/>
            <w:vAlign w:val="center"/>
          </w:tcPr>
          <w:p>
            <w:pPr>
              <w:adjustRightInd w:val="0"/>
              <w:snapToGrid w:val="0"/>
              <w:spacing w:line="560" w:lineRule="exact"/>
              <w:jc w:val="left"/>
              <w:rPr>
                <w:rFonts w:hint="eastAsia" w:ascii="仿宋_GB2312" w:hAnsi="仿宋_GB2312" w:eastAsia="仿宋_GB2312" w:cs="仿宋_GB2312"/>
                <w:b w:val="0"/>
                <w:bCs w:val="0"/>
                <w:sz w:val="28"/>
                <w:szCs w:val="28"/>
                <w:lang w:val="zh-CN"/>
              </w:rPr>
            </w:pPr>
            <w:r>
              <w:rPr>
                <w:rFonts w:hint="eastAsia" w:ascii="仿宋_GB2312" w:hAnsi="仿宋_GB2312" w:eastAsia="仿宋_GB2312" w:cs="仿宋_GB2312"/>
                <w:b w:val="0"/>
                <w:bCs w:val="0"/>
                <w:sz w:val="28"/>
                <w:szCs w:val="28"/>
                <w:lang w:val="zh-CN"/>
              </w:rPr>
              <w:t>基层社综合服务功能</w:t>
            </w:r>
          </w:p>
        </w:tc>
        <w:tc>
          <w:tcPr>
            <w:tcW w:w="2540" w:type="dxa"/>
            <w:noWrap w:val="0"/>
            <w:vAlign w:val="center"/>
          </w:tcPr>
          <w:p>
            <w:pPr>
              <w:adjustRightInd w:val="0"/>
              <w:snapToGrid w:val="0"/>
              <w:spacing w:line="560" w:lineRule="exact"/>
              <w:jc w:val="right"/>
              <w:rPr>
                <w:rFonts w:hint="eastAsia" w:ascii="仿宋_GB2312" w:hAnsi="仿宋_GB2312" w:eastAsia="仿宋_GB2312" w:cs="仿宋_GB2312"/>
                <w:b w:val="0"/>
                <w:bCs w:val="0"/>
                <w:sz w:val="30"/>
                <w:szCs w:val="30"/>
                <w:lang w:val="zh-CN"/>
              </w:rPr>
            </w:pPr>
            <w:r>
              <w:rPr>
                <w:rFonts w:hint="eastAsia" w:ascii="仿宋_GB2312" w:hAnsi="仿宋_GB2312" w:eastAsia="仿宋_GB2312" w:cs="仿宋_GB2312"/>
                <w:b w:val="0"/>
                <w:bCs w:val="0"/>
                <w:sz w:val="30"/>
                <w:szCs w:val="30"/>
                <w:lang w:val="zh-CN"/>
              </w:rPr>
              <w:t>有明显提升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9" w:type="dxa"/>
            <w:noWrap w:val="0"/>
            <w:vAlign w:val="center"/>
          </w:tcPr>
          <w:p>
            <w:pPr>
              <w:adjustRightInd w:val="0"/>
              <w:snapToGrid w:val="0"/>
              <w:spacing w:line="560" w:lineRule="exact"/>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5</w:t>
            </w:r>
          </w:p>
        </w:tc>
        <w:tc>
          <w:tcPr>
            <w:tcW w:w="5326" w:type="dxa"/>
            <w:noWrap w:val="0"/>
            <w:vAlign w:val="center"/>
          </w:tcPr>
          <w:p>
            <w:pPr>
              <w:adjustRightInd w:val="0"/>
              <w:snapToGrid w:val="0"/>
              <w:spacing w:line="560" w:lineRule="exact"/>
              <w:jc w:val="left"/>
              <w:rPr>
                <w:rFonts w:hint="eastAsia" w:ascii="仿宋_GB2312" w:hAnsi="仿宋_GB2312" w:eastAsia="仿宋_GB2312" w:cs="仿宋_GB2312"/>
                <w:b w:val="0"/>
                <w:bCs w:val="0"/>
                <w:sz w:val="28"/>
                <w:szCs w:val="28"/>
                <w:lang w:val="zh-CN"/>
              </w:rPr>
            </w:pPr>
            <w:r>
              <w:rPr>
                <w:rFonts w:hint="eastAsia" w:ascii="仿宋_GB2312" w:hAnsi="仿宋_GB2312" w:eastAsia="仿宋_GB2312" w:cs="仿宋_GB2312"/>
                <w:b w:val="0"/>
                <w:bCs w:val="0"/>
                <w:sz w:val="28"/>
                <w:szCs w:val="28"/>
                <w:lang w:val="zh-CN"/>
              </w:rPr>
              <w:t>供销社系统农资、农产品流通设施和能力</w:t>
            </w:r>
          </w:p>
        </w:tc>
        <w:tc>
          <w:tcPr>
            <w:tcW w:w="2540" w:type="dxa"/>
            <w:noWrap w:val="0"/>
            <w:vAlign w:val="center"/>
          </w:tcPr>
          <w:p>
            <w:pPr>
              <w:adjustRightInd w:val="0"/>
              <w:snapToGrid w:val="0"/>
              <w:spacing w:line="560" w:lineRule="exact"/>
              <w:jc w:val="right"/>
              <w:rPr>
                <w:rFonts w:hint="eastAsia" w:ascii="仿宋_GB2312" w:hAnsi="仿宋_GB2312" w:eastAsia="仿宋_GB2312" w:cs="仿宋_GB2312"/>
                <w:b w:val="0"/>
                <w:bCs w:val="0"/>
                <w:sz w:val="30"/>
                <w:szCs w:val="30"/>
                <w:lang w:val="zh-CN"/>
              </w:rPr>
            </w:pPr>
            <w:r>
              <w:rPr>
                <w:rFonts w:hint="eastAsia" w:ascii="仿宋_GB2312" w:hAnsi="仿宋_GB2312" w:eastAsia="仿宋_GB2312" w:cs="仿宋_GB2312"/>
                <w:b w:val="0"/>
                <w:bCs w:val="0"/>
                <w:sz w:val="30"/>
                <w:szCs w:val="30"/>
                <w:lang w:val="zh-CN"/>
              </w:rPr>
              <w:t>有明显改善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9" w:type="dxa"/>
            <w:noWrap w:val="0"/>
            <w:vAlign w:val="center"/>
          </w:tcPr>
          <w:p>
            <w:pPr>
              <w:adjustRightInd w:val="0"/>
              <w:snapToGrid w:val="0"/>
              <w:spacing w:line="560" w:lineRule="exact"/>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6</w:t>
            </w:r>
          </w:p>
        </w:tc>
        <w:tc>
          <w:tcPr>
            <w:tcW w:w="5326" w:type="dxa"/>
            <w:noWrap w:val="0"/>
            <w:vAlign w:val="center"/>
          </w:tcPr>
          <w:p>
            <w:pPr>
              <w:adjustRightInd w:val="0"/>
              <w:snapToGrid w:val="0"/>
              <w:spacing w:line="560" w:lineRule="exact"/>
              <w:jc w:val="left"/>
              <w:rPr>
                <w:rFonts w:hint="eastAsia" w:ascii="仿宋_GB2312" w:hAnsi="仿宋_GB2312" w:eastAsia="仿宋_GB2312" w:cs="仿宋_GB2312"/>
                <w:b w:val="0"/>
                <w:bCs w:val="0"/>
                <w:sz w:val="28"/>
                <w:szCs w:val="28"/>
                <w:lang w:val="zh-CN"/>
              </w:rPr>
            </w:pPr>
            <w:r>
              <w:rPr>
                <w:rFonts w:hint="eastAsia" w:ascii="仿宋_GB2312" w:hAnsi="仿宋_GB2312" w:eastAsia="仿宋_GB2312" w:cs="仿宋_GB2312"/>
                <w:b w:val="0"/>
                <w:bCs w:val="0"/>
                <w:sz w:val="28"/>
                <w:szCs w:val="28"/>
                <w:lang w:val="zh-CN"/>
              </w:rPr>
              <w:t>服务对象农业生产和管理成本</w:t>
            </w:r>
          </w:p>
        </w:tc>
        <w:tc>
          <w:tcPr>
            <w:tcW w:w="2540" w:type="dxa"/>
            <w:noWrap w:val="0"/>
            <w:vAlign w:val="center"/>
          </w:tcPr>
          <w:p>
            <w:pPr>
              <w:adjustRightInd w:val="0"/>
              <w:snapToGrid w:val="0"/>
              <w:spacing w:line="560" w:lineRule="exact"/>
              <w:jc w:val="right"/>
              <w:rPr>
                <w:rFonts w:hint="eastAsia" w:ascii="仿宋_GB2312" w:hAnsi="仿宋_GB2312" w:eastAsia="仿宋_GB2312" w:cs="仿宋_GB2312"/>
                <w:b w:val="0"/>
                <w:bCs w:val="0"/>
                <w:sz w:val="30"/>
                <w:szCs w:val="30"/>
                <w:lang w:val="zh-CN"/>
              </w:rPr>
            </w:pPr>
            <w:r>
              <w:rPr>
                <w:rFonts w:hint="eastAsia" w:ascii="仿宋_GB2312" w:hAnsi="仿宋_GB2312" w:eastAsia="仿宋_GB2312" w:cs="仿宋_GB2312"/>
                <w:b w:val="0"/>
                <w:bCs w:val="0"/>
                <w:sz w:val="28"/>
                <w:szCs w:val="28"/>
                <w:lang w:val="zh-CN"/>
              </w:rPr>
              <w:t>低于农村平均水平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9" w:type="dxa"/>
            <w:noWrap w:val="0"/>
            <w:vAlign w:val="center"/>
          </w:tcPr>
          <w:p>
            <w:pPr>
              <w:adjustRightInd w:val="0"/>
              <w:snapToGrid w:val="0"/>
              <w:spacing w:line="560" w:lineRule="exact"/>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7</w:t>
            </w:r>
          </w:p>
        </w:tc>
        <w:tc>
          <w:tcPr>
            <w:tcW w:w="5326" w:type="dxa"/>
            <w:noWrap w:val="0"/>
            <w:vAlign w:val="center"/>
          </w:tcPr>
          <w:p>
            <w:pPr>
              <w:adjustRightInd w:val="0"/>
              <w:snapToGrid w:val="0"/>
              <w:spacing w:line="560" w:lineRule="exact"/>
              <w:jc w:val="left"/>
              <w:rPr>
                <w:rFonts w:hint="eastAsia" w:ascii="仿宋_GB2312" w:hAnsi="仿宋_GB2312" w:eastAsia="仿宋_GB2312" w:cs="仿宋_GB2312"/>
                <w:b w:val="0"/>
                <w:bCs w:val="0"/>
                <w:sz w:val="28"/>
                <w:szCs w:val="28"/>
                <w:lang w:val="zh-CN"/>
              </w:rPr>
            </w:pPr>
            <w:r>
              <w:rPr>
                <w:rFonts w:hint="eastAsia" w:ascii="仿宋_GB2312" w:hAnsi="仿宋_GB2312" w:eastAsia="仿宋_GB2312" w:cs="仿宋_GB2312"/>
                <w:b w:val="0"/>
                <w:bCs w:val="0"/>
                <w:sz w:val="28"/>
                <w:szCs w:val="28"/>
                <w:lang w:val="zh-CN"/>
              </w:rPr>
              <w:t>信息化技术应用和服务能力</w:t>
            </w:r>
          </w:p>
        </w:tc>
        <w:tc>
          <w:tcPr>
            <w:tcW w:w="2540" w:type="dxa"/>
            <w:noWrap w:val="0"/>
            <w:vAlign w:val="center"/>
          </w:tcPr>
          <w:p>
            <w:pPr>
              <w:adjustRightInd w:val="0"/>
              <w:snapToGrid w:val="0"/>
              <w:spacing w:line="560" w:lineRule="exact"/>
              <w:jc w:val="right"/>
              <w:rPr>
                <w:rFonts w:hint="eastAsia" w:ascii="仿宋_GB2312" w:hAnsi="仿宋_GB2312" w:eastAsia="仿宋_GB2312" w:cs="仿宋_GB2312"/>
                <w:b w:val="0"/>
                <w:bCs w:val="0"/>
                <w:sz w:val="30"/>
                <w:szCs w:val="30"/>
                <w:lang w:val="zh-CN"/>
              </w:rPr>
            </w:pPr>
            <w:r>
              <w:rPr>
                <w:rFonts w:hint="eastAsia" w:ascii="仿宋_GB2312" w:hAnsi="仿宋_GB2312" w:eastAsia="仿宋_GB2312" w:cs="仿宋_GB2312"/>
                <w:b w:val="0"/>
                <w:bCs w:val="0"/>
                <w:sz w:val="30"/>
                <w:szCs w:val="30"/>
                <w:lang w:val="zh-CN"/>
              </w:rPr>
              <w:t>有明显增强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9" w:type="dxa"/>
            <w:noWrap w:val="0"/>
            <w:vAlign w:val="center"/>
          </w:tcPr>
          <w:p>
            <w:pPr>
              <w:adjustRightInd w:val="0"/>
              <w:snapToGrid w:val="0"/>
              <w:spacing w:line="560" w:lineRule="exact"/>
              <w:jc w:val="center"/>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8</w:t>
            </w:r>
          </w:p>
        </w:tc>
        <w:tc>
          <w:tcPr>
            <w:tcW w:w="5326" w:type="dxa"/>
            <w:noWrap w:val="0"/>
            <w:vAlign w:val="center"/>
          </w:tcPr>
          <w:p>
            <w:pPr>
              <w:adjustRightInd w:val="0"/>
              <w:snapToGrid w:val="0"/>
              <w:spacing w:line="560" w:lineRule="exact"/>
              <w:jc w:val="left"/>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4"/>
              </w:rPr>
              <w:t>全资控股基层社营业总收入年增长率</w:t>
            </w:r>
          </w:p>
        </w:tc>
        <w:tc>
          <w:tcPr>
            <w:tcW w:w="2540" w:type="dxa"/>
            <w:noWrap w:val="0"/>
            <w:vAlign w:val="center"/>
          </w:tcPr>
          <w:p>
            <w:pPr>
              <w:adjustRightInd w:val="0"/>
              <w:snapToGrid w:val="0"/>
              <w:spacing w:line="560" w:lineRule="exact"/>
              <w:jc w:val="right"/>
              <w:textAlignment w:val="center"/>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9" w:type="dxa"/>
            <w:noWrap w:val="0"/>
            <w:vAlign w:val="center"/>
          </w:tcPr>
          <w:p>
            <w:pPr>
              <w:adjustRightInd w:val="0"/>
              <w:snapToGrid w:val="0"/>
              <w:spacing w:line="560" w:lineRule="exact"/>
              <w:jc w:val="center"/>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9</w:t>
            </w:r>
          </w:p>
        </w:tc>
        <w:tc>
          <w:tcPr>
            <w:tcW w:w="5326" w:type="dxa"/>
            <w:noWrap w:val="0"/>
            <w:vAlign w:val="center"/>
          </w:tcPr>
          <w:p>
            <w:pPr>
              <w:adjustRightInd w:val="0"/>
              <w:snapToGrid w:val="0"/>
              <w:spacing w:line="560" w:lineRule="exact"/>
              <w:jc w:val="left"/>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4"/>
              </w:rPr>
              <w:t>全资控股社有企业营业总收入年增长率</w:t>
            </w:r>
          </w:p>
        </w:tc>
        <w:tc>
          <w:tcPr>
            <w:tcW w:w="2540" w:type="dxa"/>
            <w:noWrap w:val="0"/>
            <w:vAlign w:val="center"/>
          </w:tcPr>
          <w:p>
            <w:pPr>
              <w:adjustRightInd w:val="0"/>
              <w:snapToGrid w:val="0"/>
              <w:spacing w:line="560" w:lineRule="exact"/>
              <w:jc w:val="right"/>
              <w:textAlignment w:val="center"/>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9" w:type="dxa"/>
            <w:noWrap w:val="0"/>
            <w:vAlign w:val="center"/>
          </w:tcPr>
          <w:p>
            <w:pPr>
              <w:adjustRightInd w:val="0"/>
              <w:snapToGrid w:val="0"/>
              <w:spacing w:line="560" w:lineRule="exact"/>
              <w:jc w:val="center"/>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10</w:t>
            </w:r>
          </w:p>
        </w:tc>
        <w:tc>
          <w:tcPr>
            <w:tcW w:w="5326" w:type="dxa"/>
            <w:noWrap w:val="0"/>
            <w:vAlign w:val="center"/>
          </w:tcPr>
          <w:p>
            <w:pPr>
              <w:adjustRightInd w:val="0"/>
              <w:snapToGrid w:val="0"/>
              <w:spacing w:line="560" w:lineRule="exact"/>
              <w:jc w:val="left"/>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综合服务营业额年增长率</w:t>
            </w:r>
          </w:p>
        </w:tc>
        <w:tc>
          <w:tcPr>
            <w:tcW w:w="2540" w:type="dxa"/>
            <w:noWrap w:val="0"/>
            <w:vAlign w:val="center"/>
          </w:tcPr>
          <w:p>
            <w:pPr>
              <w:adjustRightInd w:val="0"/>
              <w:snapToGrid w:val="0"/>
              <w:spacing w:line="560" w:lineRule="exact"/>
              <w:jc w:val="right"/>
              <w:textAlignment w:val="center"/>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9" w:type="dxa"/>
            <w:noWrap w:val="0"/>
            <w:vAlign w:val="center"/>
          </w:tcPr>
          <w:p>
            <w:pPr>
              <w:adjustRightInd w:val="0"/>
              <w:snapToGrid w:val="0"/>
              <w:spacing w:line="560" w:lineRule="exact"/>
              <w:jc w:val="center"/>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11</w:t>
            </w:r>
          </w:p>
        </w:tc>
        <w:tc>
          <w:tcPr>
            <w:tcW w:w="5326" w:type="dxa"/>
            <w:noWrap w:val="0"/>
            <w:vAlign w:val="center"/>
          </w:tcPr>
          <w:p>
            <w:pPr>
              <w:adjustRightInd w:val="0"/>
              <w:snapToGrid w:val="0"/>
              <w:spacing w:line="560" w:lineRule="exact"/>
              <w:jc w:val="left"/>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全资控股社有企业年工资总额</w:t>
            </w:r>
          </w:p>
        </w:tc>
        <w:tc>
          <w:tcPr>
            <w:tcW w:w="2540" w:type="dxa"/>
            <w:noWrap w:val="0"/>
            <w:vAlign w:val="center"/>
          </w:tcPr>
          <w:p>
            <w:pPr>
              <w:adjustRightInd w:val="0"/>
              <w:snapToGrid w:val="0"/>
              <w:spacing w:line="560" w:lineRule="exact"/>
              <w:jc w:val="right"/>
              <w:textAlignment w:val="center"/>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≥4.5亿元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9" w:type="dxa"/>
            <w:noWrap w:val="0"/>
            <w:vAlign w:val="center"/>
          </w:tcPr>
          <w:p>
            <w:pPr>
              <w:adjustRightInd w:val="0"/>
              <w:snapToGrid w:val="0"/>
              <w:spacing w:line="560" w:lineRule="exact"/>
              <w:jc w:val="center"/>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12</w:t>
            </w:r>
          </w:p>
        </w:tc>
        <w:tc>
          <w:tcPr>
            <w:tcW w:w="5326" w:type="dxa"/>
            <w:noWrap w:val="0"/>
            <w:vAlign w:val="center"/>
          </w:tcPr>
          <w:p>
            <w:pPr>
              <w:adjustRightInd w:val="0"/>
              <w:snapToGrid w:val="0"/>
              <w:spacing w:line="560" w:lineRule="exact"/>
              <w:jc w:val="left"/>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全资控股社有企业年实际上缴税费</w:t>
            </w:r>
          </w:p>
        </w:tc>
        <w:tc>
          <w:tcPr>
            <w:tcW w:w="2540" w:type="dxa"/>
            <w:noWrap w:val="0"/>
            <w:vAlign w:val="center"/>
          </w:tcPr>
          <w:p>
            <w:pPr>
              <w:adjustRightInd w:val="0"/>
              <w:snapToGrid w:val="0"/>
              <w:spacing w:line="560" w:lineRule="exact"/>
              <w:jc w:val="right"/>
              <w:textAlignment w:val="center"/>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≥2亿元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9" w:type="dxa"/>
            <w:noWrap w:val="0"/>
            <w:vAlign w:val="center"/>
          </w:tcPr>
          <w:p>
            <w:pPr>
              <w:adjustRightInd w:val="0"/>
              <w:snapToGrid w:val="0"/>
              <w:spacing w:line="560" w:lineRule="exact"/>
              <w:jc w:val="center"/>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13</w:t>
            </w:r>
          </w:p>
        </w:tc>
        <w:tc>
          <w:tcPr>
            <w:tcW w:w="5326" w:type="dxa"/>
            <w:noWrap w:val="0"/>
            <w:vAlign w:val="center"/>
          </w:tcPr>
          <w:p>
            <w:pPr>
              <w:adjustRightInd w:val="0"/>
              <w:snapToGrid w:val="0"/>
              <w:spacing w:line="560" w:lineRule="exact"/>
              <w:jc w:val="left"/>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服务对象满意度</w:t>
            </w:r>
          </w:p>
        </w:tc>
        <w:tc>
          <w:tcPr>
            <w:tcW w:w="2540" w:type="dxa"/>
            <w:noWrap w:val="0"/>
            <w:vAlign w:val="center"/>
          </w:tcPr>
          <w:p>
            <w:pPr>
              <w:adjustRightInd w:val="0"/>
              <w:snapToGrid w:val="0"/>
              <w:spacing w:line="560" w:lineRule="exact"/>
              <w:jc w:val="right"/>
              <w:textAlignment w:val="center"/>
              <w:rPr>
                <w:rFonts w:hint="eastAsia" w:ascii="仿宋_GB2312" w:hAnsi="仿宋_GB2312" w:eastAsia="仿宋_GB2312" w:cs="仿宋_GB2312"/>
                <w:b w:val="0"/>
                <w:bCs w:val="0"/>
                <w:kern w:val="0"/>
                <w:sz w:val="30"/>
                <w:szCs w:val="30"/>
              </w:rPr>
            </w:pPr>
            <w:r>
              <w:rPr>
                <w:rFonts w:hint="eastAsia" w:ascii="仿宋_GB2312" w:hAnsi="仿宋_GB2312" w:eastAsia="仿宋_GB2312" w:cs="仿宋_GB2312"/>
                <w:b w:val="0"/>
                <w:bCs w:val="0"/>
                <w:kern w:val="0"/>
                <w:sz w:val="30"/>
                <w:szCs w:val="30"/>
              </w:rPr>
              <w:t>≥90%</w:t>
            </w:r>
          </w:p>
        </w:tc>
      </w:tr>
    </w:tbl>
    <w:p>
      <w:pPr>
        <w:adjustRightInd w:val="0"/>
        <w:snapToGrid w:val="0"/>
        <w:spacing w:line="560" w:lineRule="exact"/>
        <w:ind w:firstLine="602" w:firstLineChars="200"/>
        <w:rPr>
          <w:rFonts w:hint="eastAsia"/>
          <w:b/>
          <w:sz w:val="30"/>
          <w:lang w:val="zh-CN"/>
        </w:rPr>
      </w:pPr>
    </w:p>
    <w:tbl>
      <w:tblPr>
        <w:tblStyle w:val="13"/>
        <w:tblpPr w:leftFromText="180" w:rightFromText="180" w:vertAnchor="text" w:horzAnchor="margin" w:tblpX="113" w:tblpY="453"/>
        <w:tblOverlap w:val="never"/>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400"/>
        <w:gridCol w:w="2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48" w:type="dxa"/>
            <w:noWrap w:val="0"/>
            <w:vAlign w:val="center"/>
          </w:tcPr>
          <w:p>
            <w:pPr>
              <w:adjustRightInd w:val="0"/>
              <w:snapToGrid w:val="0"/>
              <w:spacing w:line="560" w:lineRule="exact"/>
              <w:jc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序号</w:t>
            </w:r>
          </w:p>
        </w:tc>
        <w:tc>
          <w:tcPr>
            <w:tcW w:w="5400" w:type="dxa"/>
            <w:noWrap/>
            <w:vAlign w:val="center"/>
          </w:tcPr>
          <w:p>
            <w:pPr>
              <w:adjustRightInd w:val="0"/>
              <w:snapToGrid w:val="0"/>
              <w:spacing w:line="560" w:lineRule="exact"/>
              <w:ind w:firstLine="280" w:firstLineChars="100"/>
              <w:jc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sz w:val="28"/>
                <w:szCs w:val="28"/>
              </w:rPr>
              <w:t>三社融合绩效目标（500万元）</w:t>
            </w:r>
          </w:p>
        </w:tc>
        <w:tc>
          <w:tcPr>
            <w:tcW w:w="2532" w:type="dxa"/>
            <w:noWrap/>
            <w:vAlign w:val="center"/>
          </w:tcPr>
          <w:p>
            <w:pPr>
              <w:adjustRightInd w:val="0"/>
              <w:snapToGrid w:val="0"/>
              <w:spacing w:line="560" w:lineRule="exact"/>
              <w:ind w:firstLine="560" w:firstLineChars="200"/>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48" w:type="dxa"/>
            <w:noWrap w:val="0"/>
            <w:vAlign w:val="center"/>
          </w:tcPr>
          <w:p>
            <w:pPr>
              <w:adjustRightInd w:val="0"/>
              <w:snapToGrid w:val="0"/>
              <w:spacing w:line="560" w:lineRule="exact"/>
              <w:ind w:firstLine="560" w:firstLineChars="200"/>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1</w:t>
            </w:r>
          </w:p>
        </w:tc>
        <w:tc>
          <w:tcPr>
            <w:tcW w:w="5400" w:type="dxa"/>
            <w:noWrap/>
            <w:vAlign w:val="center"/>
          </w:tcPr>
          <w:p>
            <w:pPr>
              <w:adjustRightInd w:val="0"/>
              <w:snapToGrid w:val="0"/>
              <w:spacing w:line="560" w:lineRule="exact"/>
              <w:jc w:val="left"/>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新建“三社”融合村级供销社</w:t>
            </w:r>
          </w:p>
        </w:tc>
        <w:tc>
          <w:tcPr>
            <w:tcW w:w="2532" w:type="dxa"/>
            <w:noWrap/>
            <w:vAlign w:val="center"/>
          </w:tcPr>
          <w:p>
            <w:pPr>
              <w:adjustRightInd w:val="0"/>
              <w:snapToGrid w:val="0"/>
              <w:spacing w:line="560" w:lineRule="exact"/>
              <w:ind w:firstLine="560" w:firstLineChars="200"/>
              <w:jc w:val="right"/>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1家以上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48" w:type="dxa"/>
            <w:noWrap w:val="0"/>
            <w:vAlign w:val="center"/>
          </w:tcPr>
          <w:p>
            <w:pPr>
              <w:adjustRightInd w:val="0"/>
              <w:snapToGrid w:val="0"/>
              <w:spacing w:line="560" w:lineRule="exact"/>
              <w:ind w:firstLine="560" w:firstLineChars="200"/>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2</w:t>
            </w:r>
          </w:p>
        </w:tc>
        <w:tc>
          <w:tcPr>
            <w:tcW w:w="5400" w:type="dxa"/>
            <w:noWrap/>
            <w:vAlign w:val="center"/>
          </w:tcPr>
          <w:p>
            <w:pPr>
              <w:adjustRightInd w:val="0"/>
              <w:snapToGrid w:val="0"/>
              <w:spacing w:line="560" w:lineRule="exact"/>
              <w:jc w:val="left"/>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带动村级集体经济组织</w:t>
            </w:r>
          </w:p>
        </w:tc>
        <w:tc>
          <w:tcPr>
            <w:tcW w:w="2532" w:type="dxa"/>
            <w:noWrap/>
            <w:vAlign w:val="center"/>
          </w:tcPr>
          <w:p>
            <w:pPr>
              <w:adjustRightInd w:val="0"/>
              <w:snapToGrid w:val="0"/>
              <w:spacing w:line="560" w:lineRule="exact"/>
              <w:ind w:firstLine="560" w:firstLineChars="200"/>
              <w:jc w:val="right"/>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5家以上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48" w:type="dxa"/>
            <w:noWrap w:val="0"/>
            <w:vAlign w:val="center"/>
          </w:tcPr>
          <w:p>
            <w:pPr>
              <w:adjustRightInd w:val="0"/>
              <w:snapToGrid w:val="0"/>
              <w:spacing w:line="560" w:lineRule="exact"/>
              <w:ind w:firstLine="560" w:firstLineChars="200"/>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3</w:t>
            </w:r>
          </w:p>
        </w:tc>
        <w:tc>
          <w:tcPr>
            <w:tcW w:w="5400" w:type="dxa"/>
            <w:noWrap/>
            <w:vAlign w:val="center"/>
          </w:tcPr>
          <w:p>
            <w:pPr>
              <w:adjustRightInd w:val="0"/>
              <w:snapToGrid w:val="0"/>
              <w:spacing w:line="560" w:lineRule="exact"/>
              <w:jc w:val="left"/>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带动农民专业合作社</w:t>
            </w:r>
          </w:p>
        </w:tc>
        <w:tc>
          <w:tcPr>
            <w:tcW w:w="2532" w:type="dxa"/>
            <w:noWrap/>
            <w:vAlign w:val="center"/>
          </w:tcPr>
          <w:p>
            <w:pPr>
              <w:adjustRightInd w:val="0"/>
              <w:snapToGrid w:val="0"/>
              <w:spacing w:line="560" w:lineRule="exact"/>
              <w:ind w:firstLine="560" w:firstLineChars="200"/>
              <w:jc w:val="right"/>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5家以上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48" w:type="dxa"/>
            <w:noWrap w:val="0"/>
            <w:vAlign w:val="center"/>
          </w:tcPr>
          <w:p>
            <w:pPr>
              <w:adjustRightInd w:val="0"/>
              <w:snapToGrid w:val="0"/>
              <w:spacing w:line="560" w:lineRule="exact"/>
              <w:ind w:firstLine="560" w:firstLineChars="200"/>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4</w:t>
            </w:r>
          </w:p>
        </w:tc>
        <w:tc>
          <w:tcPr>
            <w:tcW w:w="5400" w:type="dxa"/>
            <w:noWrap/>
            <w:vAlign w:val="center"/>
          </w:tcPr>
          <w:p>
            <w:pPr>
              <w:adjustRightInd w:val="0"/>
              <w:snapToGrid w:val="0"/>
              <w:spacing w:line="560" w:lineRule="exact"/>
              <w:jc w:val="left"/>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“三社”融合培训</w:t>
            </w:r>
          </w:p>
        </w:tc>
        <w:tc>
          <w:tcPr>
            <w:tcW w:w="2532" w:type="dxa"/>
            <w:noWrap/>
            <w:vAlign w:val="center"/>
          </w:tcPr>
          <w:p>
            <w:pPr>
              <w:adjustRightInd w:val="0"/>
              <w:snapToGrid w:val="0"/>
              <w:spacing w:line="560" w:lineRule="exact"/>
              <w:jc w:val="right"/>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200人次以上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48" w:type="dxa"/>
            <w:noWrap w:val="0"/>
            <w:vAlign w:val="center"/>
          </w:tcPr>
          <w:p>
            <w:pPr>
              <w:adjustRightInd w:val="0"/>
              <w:snapToGrid w:val="0"/>
              <w:spacing w:line="560" w:lineRule="exact"/>
              <w:ind w:firstLine="560" w:firstLineChars="200"/>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5</w:t>
            </w:r>
          </w:p>
        </w:tc>
        <w:tc>
          <w:tcPr>
            <w:tcW w:w="5400" w:type="dxa"/>
            <w:noWrap/>
            <w:vAlign w:val="center"/>
          </w:tcPr>
          <w:p>
            <w:pPr>
              <w:adjustRightInd w:val="0"/>
              <w:snapToGrid w:val="0"/>
              <w:spacing w:line="560" w:lineRule="exact"/>
              <w:jc w:val="left"/>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带动村集体经济年均增收</w:t>
            </w:r>
          </w:p>
        </w:tc>
        <w:tc>
          <w:tcPr>
            <w:tcW w:w="2532" w:type="dxa"/>
            <w:noWrap/>
            <w:vAlign w:val="center"/>
          </w:tcPr>
          <w:p>
            <w:pPr>
              <w:adjustRightInd w:val="0"/>
              <w:snapToGrid w:val="0"/>
              <w:spacing w:line="560" w:lineRule="exact"/>
              <w:ind w:firstLine="560" w:firstLineChars="200"/>
              <w:jc w:val="right"/>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48" w:type="dxa"/>
            <w:noWrap w:val="0"/>
            <w:vAlign w:val="center"/>
          </w:tcPr>
          <w:p>
            <w:pPr>
              <w:adjustRightInd w:val="0"/>
              <w:snapToGrid w:val="0"/>
              <w:spacing w:line="560" w:lineRule="exact"/>
              <w:ind w:firstLine="560" w:firstLineChars="200"/>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6</w:t>
            </w:r>
          </w:p>
        </w:tc>
        <w:tc>
          <w:tcPr>
            <w:tcW w:w="5400" w:type="dxa"/>
            <w:noWrap/>
            <w:vAlign w:val="center"/>
          </w:tcPr>
          <w:p>
            <w:pPr>
              <w:adjustRightInd w:val="0"/>
              <w:snapToGrid w:val="0"/>
              <w:spacing w:line="560" w:lineRule="exact"/>
              <w:jc w:val="left"/>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带动农民专业合作社年均增收</w:t>
            </w:r>
          </w:p>
        </w:tc>
        <w:tc>
          <w:tcPr>
            <w:tcW w:w="2532" w:type="dxa"/>
            <w:noWrap/>
            <w:vAlign w:val="center"/>
          </w:tcPr>
          <w:p>
            <w:pPr>
              <w:adjustRightInd w:val="0"/>
              <w:snapToGrid w:val="0"/>
              <w:spacing w:line="560" w:lineRule="exact"/>
              <w:ind w:firstLine="560" w:firstLineChars="200"/>
              <w:jc w:val="right"/>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48" w:type="dxa"/>
            <w:noWrap w:val="0"/>
            <w:vAlign w:val="center"/>
          </w:tcPr>
          <w:p>
            <w:pPr>
              <w:adjustRightInd w:val="0"/>
              <w:snapToGrid w:val="0"/>
              <w:spacing w:line="560" w:lineRule="exact"/>
              <w:ind w:firstLine="560" w:firstLineChars="200"/>
              <w:textAlignment w:val="center"/>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7</w:t>
            </w:r>
          </w:p>
        </w:tc>
        <w:tc>
          <w:tcPr>
            <w:tcW w:w="5400" w:type="dxa"/>
            <w:noWrap/>
            <w:vAlign w:val="center"/>
          </w:tcPr>
          <w:p>
            <w:pPr>
              <w:adjustRightInd w:val="0"/>
              <w:snapToGrid w:val="0"/>
              <w:spacing w:line="560" w:lineRule="exact"/>
              <w:jc w:val="left"/>
              <w:textAlignment w:val="center"/>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吸纳农民就业</w:t>
            </w:r>
          </w:p>
        </w:tc>
        <w:tc>
          <w:tcPr>
            <w:tcW w:w="2532" w:type="dxa"/>
            <w:noWrap/>
            <w:vAlign w:val="center"/>
          </w:tcPr>
          <w:p>
            <w:pPr>
              <w:adjustRightInd w:val="0"/>
              <w:snapToGrid w:val="0"/>
              <w:spacing w:line="560" w:lineRule="exact"/>
              <w:ind w:firstLine="560" w:firstLineChars="200"/>
              <w:jc w:val="right"/>
              <w:textAlignment w:val="center"/>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≧50人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48" w:type="dxa"/>
            <w:noWrap w:val="0"/>
            <w:vAlign w:val="center"/>
          </w:tcPr>
          <w:p>
            <w:pPr>
              <w:adjustRightInd w:val="0"/>
              <w:snapToGrid w:val="0"/>
              <w:spacing w:line="560" w:lineRule="exact"/>
              <w:ind w:firstLine="560" w:firstLineChars="200"/>
              <w:textAlignment w:val="center"/>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8</w:t>
            </w:r>
          </w:p>
        </w:tc>
        <w:tc>
          <w:tcPr>
            <w:tcW w:w="5400" w:type="dxa"/>
            <w:noWrap/>
            <w:vAlign w:val="center"/>
          </w:tcPr>
          <w:p>
            <w:pPr>
              <w:adjustRightInd w:val="0"/>
              <w:snapToGrid w:val="0"/>
              <w:spacing w:line="560" w:lineRule="exact"/>
              <w:jc w:val="left"/>
              <w:textAlignment w:val="center"/>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“三社”助农增收户均</w:t>
            </w:r>
          </w:p>
        </w:tc>
        <w:tc>
          <w:tcPr>
            <w:tcW w:w="2532" w:type="dxa"/>
            <w:noWrap/>
            <w:vAlign w:val="center"/>
          </w:tcPr>
          <w:p>
            <w:pPr>
              <w:adjustRightInd w:val="0"/>
              <w:snapToGrid w:val="0"/>
              <w:spacing w:line="560" w:lineRule="exact"/>
              <w:ind w:firstLine="560" w:firstLineChars="200"/>
              <w:jc w:val="right"/>
              <w:textAlignment w:val="center"/>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≧150元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48" w:type="dxa"/>
            <w:tcBorders>
              <w:bottom w:val="single" w:color="000000" w:sz="4" w:space="0"/>
            </w:tcBorders>
            <w:noWrap w:val="0"/>
            <w:vAlign w:val="center"/>
          </w:tcPr>
          <w:p>
            <w:pPr>
              <w:adjustRightInd w:val="0"/>
              <w:snapToGrid w:val="0"/>
              <w:spacing w:line="560" w:lineRule="exact"/>
              <w:ind w:firstLine="560" w:firstLineChars="200"/>
              <w:textAlignment w:val="center"/>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9</w:t>
            </w:r>
          </w:p>
        </w:tc>
        <w:tc>
          <w:tcPr>
            <w:tcW w:w="5400" w:type="dxa"/>
            <w:tcBorders>
              <w:bottom w:val="single" w:color="000000" w:sz="4" w:space="0"/>
            </w:tcBorders>
            <w:noWrap/>
            <w:vAlign w:val="center"/>
          </w:tcPr>
          <w:p>
            <w:pPr>
              <w:adjustRightInd w:val="0"/>
              <w:snapToGrid w:val="0"/>
              <w:spacing w:line="560" w:lineRule="exact"/>
              <w:jc w:val="left"/>
              <w:textAlignment w:val="center"/>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服务对象满意度</w:t>
            </w:r>
          </w:p>
        </w:tc>
        <w:tc>
          <w:tcPr>
            <w:tcW w:w="2532" w:type="dxa"/>
            <w:tcBorders>
              <w:bottom w:val="single" w:color="000000" w:sz="4" w:space="0"/>
            </w:tcBorders>
            <w:noWrap/>
            <w:vAlign w:val="center"/>
          </w:tcPr>
          <w:p>
            <w:pPr>
              <w:adjustRightInd w:val="0"/>
              <w:snapToGrid w:val="0"/>
              <w:spacing w:line="560" w:lineRule="exact"/>
              <w:ind w:firstLine="560" w:firstLineChars="200"/>
              <w:jc w:val="right"/>
              <w:textAlignment w:val="center"/>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4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560" w:lineRule="exact"/>
              <w:textAlignment w:val="center"/>
              <w:rPr>
                <w:rFonts w:hint="eastAsia" w:ascii="仿宋_GB2312" w:hAnsi="仿宋_GB2312" w:eastAsia="仿宋_GB2312" w:cs="仿宋_GB2312"/>
                <w:b w:val="0"/>
                <w:bCs/>
                <w:kern w:val="0"/>
                <w:sz w:val="28"/>
                <w:szCs w:val="28"/>
                <w:lang w:eastAsia="zh-CN"/>
              </w:rPr>
            </w:pPr>
          </w:p>
        </w:tc>
        <w:tc>
          <w:tcPr>
            <w:tcW w:w="7932" w:type="dxa"/>
            <w:gridSpan w:val="2"/>
            <w:tcBorders>
              <w:top w:val="single" w:color="000000" w:sz="4" w:space="0"/>
              <w:left w:val="single" w:color="000000" w:sz="4" w:space="0"/>
              <w:bottom w:val="single" w:color="000000" w:sz="4" w:space="0"/>
              <w:right w:val="single" w:color="000000" w:sz="4" w:space="0"/>
            </w:tcBorders>
            <w:noWrap/>
            <w:vAlign w:val="center"/>
          </w:tcPr>
          <w:p>
            <w:pPr>
              <w:adjustRightInd w:val="0"/>
              <w:snapToGrid w:val="0"/>
              <w:spacing w:line="560" w:lineRule="exact"/>
              <w:textAlignment w:val="center"/>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以上为单个试点县（区）的绩效目标任务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48" w:type="dxa"/>
            <w:tcBorders>
              <w:top w:val="single" w:color="000000" w:sz="4" w:space="0"/>
              <w:left w:val="nil"/>
              <w:bottom w:val="nil"/>
              <w:right w:val="nil"/>
            </w:tcBorders>
            <w:noWrap w:val="0"/>
            <w:vAlign w:val="center"/>
          </w:tcPr>
          <w:p>
            <w:pPr>
              <w:adjustRightInd w:val="0"/>
              <w:snapToGrid w:val="0"/>
              <w:spacing w:line="240" w:lineRule="exact"/>
              <w:ind w:firstLine="281" w:firstLineChars="100"/>
              <w:textAlignment w:val="center"/>
              <w:rPr>
                <w:rFonts w:hint="eastAsia" w:ascii="仿宋" w:hAnsi="仿宋" w:eastAsia="仿宋" w:cs="仿宋"/>
                <w:b/>
                <w:kern w:val="0"/>
                <w:sz w:val="28"/>
                <w:szCs w:val="28"/>
              </w:rPr>
            </w:pPr>
          </w:p>
        </w:tc>
        <w:tc>
          <w:tcPr>
            <w:tcW w:w="7932" w:type="dxa"/>
            <w:gridSpan w:val="2"/>
            <w:tcBorders>
              <w:top w:val="single" w:color="000000" w:sz="4" w:space="0"/>
              <w:left w:val="nil"/>
              <w:bottom w:val="nil"/>
              <w:right w:val="nil"/>
            </w:tcBorders>
            <w:noWrap/>
            <w:vAlign w:val="center"/>
          </w:tcPr>
          <w:p>
            <w:pPr>
              <w:adjustRightInd w:val="0"/>
              <w:snapToGrid w:val="0"/>
              <w:spacing w:line="560" w:lineRule="exact"/>
              <w:ind w:firstLine="562" w:firstLineChars="200"/>
              <w:textAlignment w:val="center"/>
              <w:rPr>
                <w:rFonts w:hint="eastAsia" w:ascii="仿宋" w:hAnsi="仿宋" w:eastAsia="仿宋" w:cs="仿宋"/>
                <w:b/>
                <w:kern w:val="0"/>
                <w:sz w:val="28"/>
                <w:szCs w:val="28"/>
              </w:rPr>
            </w:pPr>
          </w:p>
        </w:tc>
      </w:tr>
    </w:tbl>
    <w:p>
      <w:pPr>
        <w:rPr>
          <w:vanish/>
        </w:rPr>
      </w:pPr>
    </w:p>
    <w:tbl>
      <w:tblPr>
        <w:tblStyle w:val="13"/>
        <w:tblpPr w:leftFromText="180" w:rightFromText="180" w:vertAnchor="text" w:horzAnchor="page" w:tblpX="1673" w:tblpY="215"/>
        <w:tblOverlap w:val="never"/>
        <w:tblW w:w="8868" w:type="dxa"/>
        <w:tblInd w:w="0" w:type="dxa"/>
        <w:tblLayout w:type="fixed"/>
        <w:tblCellMar>
          <w:top w:w="0" w:type="dxa"/>
          <w:left w:w="0" w:type="dxa"/>
          <w:bottom w:w="0" w:type="dxa"/>
          <w:right w:w="0" w:type="dxa"/>
        </w:tblCellMar>
      </w:tblPr>
      <w:tblGrid>
        <w:gridCol w:w="756"/>
        <w:gridCol w:w="5352"/>
        <w:gridCol w:w="2760"/>
      </w:tblGrid>
      <w:tr>
        <w:tblPrEx>
          <w:tblCellMar>
            <w:top w:w="0" w:type="dxa"/>
            <w:left w:w="0" w:type="dxa"/>
            <w:bottom w:w="0" w:type="dxa"/>
            <w:right w:w="0" w:type="dxa"/>
          </w:tblCellMar>
        </w:tblPrEx>
        <w:trPr>
          <w:trHeight w:val="510" w:hRule="exac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序号</w:t>
            </w:r>
          </w:p>
        </w:tc>
        <w:tc>
          <w:tcPr>
            <w:tcW w:w="5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left"/>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4"/>
                <w:szCs w:val="24"/>
              </w:rPr>
              <w:t>深度贫困地区产业扶贫资金绩效指标（3000万元）</w:t>
            </w:r>
          </w:p>
        </w:tc>
        <w:tc>
          <w:tcPr>
            <w:tcW w:w="2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560" w:firstLineChars="200"/>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指标值</w:t>
            </w:r>
          </w:p>
        </w:tc>
      </w:tr>
      <w:tr>
        <w:tblPrEx>
          <w:tblCellMar>
            <w:top w:w="0" w:type="dxa"/>
            <w:left w:w="0" w:type="dxa"/>
            <w:bottom w:w="0" w:type="dxa"/>
            <w:right w:w="0" w:type="dxa"/>
          </w:tblCellMar>
        </w:tblPrEx>
        <w:trPr>
          <w:trHeight w:val="510" w:hRule="exac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1</w:t>
            </w:r>
          </w:p>
        </w:tc>
        <w:tc>
          <w:tcPr>
            <w:tcW w:w="5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adjustRightInd w:val="0"/>
              <w:snapToGrid w:val="0"/>
              <w:spacing w:line="560" w:lineRule="exact"/>
              <w:ind w:firstLine="220" w:firstLineChars="100"/>
              <w:jc w:val="left"/>
              <w:textAlignment w:val="center"/>
              <w:rPr>
                <w:rFonts w:hint="eastAsia" w:ascii="仿宋_GB2312" w:hAnsi="仿宋_GB2312" w:eastAsia="仿宋_GB2312" w:cs="仿宋_GB2312"/>
                <w:b w:val="0"/>
                <w:bCs w:val="0"/>
                <w:spacing w:val="-10"/>
                <w:kern w:val="0"/>
                <w:sz w:val="24"/>
                <w:szCs w:val="24"/>
              </w:rPr>
            </w:pPr>
            <w:r>
              <w:rPr>
                <w:rFonts w:hint="eastAsia" w:ascii="仿宋_GB2312" w:hAnsi="仿宋_GB2312" w:eastAsia="仿宋_GB2312" w:cs="仿宋_GB2312"/>
                <w:b w:val="0"/>
                <w:bCs w:val="0"/>
                <w:spacing w:val="-10"/>
                <w:kern w:val="0"/>
                <w:sz w:val="24"/>
                <w:szCs w:val="24"/>
              </w:rPr>
              <w:t>建设为农服务中心（含电商体验中心）（个）</w:t>
            </w:r>
          </w:p>
        </w:tc>
        <w:tc>
          <w:tcPr>
            <w:tcW w:w="2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adjustRightInd w:val="0"/>
              <w:snapToGrid w:val="0"/>
              <w:spacing w:line="560" w:lineRule="exact"/>
              <w:ind w:firstLine="560" w:firstLineChars="200"/>
              <w:jc w:val="right"/>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≥15</w:t>
            </w:r>
          </w:p>
        </w:tc>
      </w:tr>
      <w:tr>
        <w:tblPrEx>
          <w:tblCellMar>
            <w:top w:w="0" w:type="dxa"/>
            <w:left w:w="0" w:type="dxa"/>
            <w:bottom w:w="0" w:type="dxa"/>
            <w:right w:w="0" w:type="dxa"/>
          </w:tblCellMar>
        </w:tblPrEx>
        <w:trPr>
          <w:trHeight w:val="510" w:hRule="exac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2</w:t>
            </w:r>
          </w:p>
        </w:tc>
        <w:tc>
          <w:tcPr>
            <w:tcW w:w="5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adjustRightInd w:val="0"/>
              <w:snapToGrid w:val="0"/>
              <w:spacing w:line="560" w:lineRule="exact"/>
              <w:ind w:firstLine="240" w:firstLineChars="100"/>
              <w:jc w:val="left"/>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建设基层经营网络服务站点（个）</w:t>
            </w:r>
          </w:p>
        </w:tc>
        <w:tc>
          <w:tcPr>
            <w:tcW w:w="2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adjustRightInd w:val="0"/>
              <w:snapToGrid w:val="0"/>
              <w:spacing w:line="560" w:lineRule="exact"/>
              <w:ind w:firstLine="560" w:firstLineChars="200"/>
              <w:jc w:val="right"/>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≥45</w:t>
            </w:r>
          </w:p>
        </w:tc>
      </w:tr>
      <w:tr>
        <w:tblPrEx>
          <w:tblCellMar>
            <w:top w:w="0" w:type="dxa"/>
            <w:left w:w="0" w:type="dxa"/>
            <w:bottom w:w="0" w:type="dxa"/>
            <w:right w:w="0" w:type="dxa"/>
          </w:tblCellMar>
        </w:tblPrEx>
        <w:trPr>
          <w:trHeight w:val="510" w:hRule="exac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3</w:t>
            </w:r>
          </w:p>
        </w:tc>
        <w:tc>
          <w:tcPr>
            <w:tcW w:w="5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adjustRightInd w:val="0"/>
              <w:snapToGrid w:val="0"/>
              <w:spacing w:line="560" w:lineRule="exact"/>
              <w:ind w:firstLine="240" w:firstLineChars="100"/>
              <w:jc w:val="left"/>
              <w:textAlignment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15个贫困县新增土地托管服务面积（亩）</w:t>
            </w:r>
          </w:p>
        </w:tc>
        <w:tc>
          <w:tcPr>
            <w:tcW w:w="2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adjustRightInd w:val="0"/>
              <w:snapToGrid w:val="0"/>
              <w:spacing w:line="560" w:lineRule="exact"/>
              <w:ind w:firstLine="560" w:firstLineChars="200"/>
              <w:jc w:val="right"/>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≥5000</w:t>
            </w:r>
          </w:p>
        </w:tc>
      </w:tr>
      <w:tr>
        <w:tblPrEx>
          <w:tblCellMar>
            <w:top w:w="0" w:type="dxa"/>
            <w:left w:w="0" w:type="dxa"/>
            <w:bottom w:w="0" w:type="dxa"/>
            <w:right w:w="0" w:type="dxa"/>
          </w:tblCellMar>
        </w:tblPrEx>
        <w:trPr>
          <w:trHeight w:val="510" w:hRule="exac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4</w:t>
            </w:r>
          </w:p>
        </w:tc>
        <w:tc>
          <w:tcPr>
            <w:tcW w:w="5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adjustRightInd w:val="0"/>
              <w:snapToGrid w:val="0"/>
              <w:spacing w:line="560" w:lineRule="exact"/>
              <w:ind w:firstLine="560" w:firstLineChars="200"/>
              <w:jc w:val="left"/>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农产品商品化率</w:t>
            </w:r>
          </w:p>
        </w:tc>
        <w:tc>
          <w:tcPr>
            <w:tcW w:w="2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adjustRightInd w:val="0"/>
              <w:snapToGrid w:val="0"/>
              <w:spacing w:line="560" w:lineRule="exact"/>
              <w:ind w:firstLine="560" w:firstLineChars="200"/>
              <w:jc w:val="right"/>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提高10%</w:t>
            </w:r>
          </w:p>
        </w:tc>
      </w:tr>
      <w:tr>
        <w:tblPrEx>
          <w:tblCellMar>
            <w:top w:w="0" w:type="dxa"/>
            <w:left w:w="0" w:type="dxa"/>
            <w:bottom w:w="0" w:type="dxa"/>
            <w:right w:w="0" w:type="dxa"/>
          </w:tblCellMar>
        </w:tblPrEx>
        <w:trPr>
          <w:trHeight w:val="510" w:hRule="exac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5</w:t>
            </w:r>
          </w:p>
        </w:tc>
        <w:tc>
          <w:tcPr>
            <w:tcW w:w="5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adjustRightInd w:val="0"/>
              <w:snapToGrid w:val="0"/>
              <w:spacing w:line="560" w:lineRule="exact"/>
              <w:ind w:firstLine="560" w:firstLineChars="200"/>
              <w:jc w:val="left"/>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服务农牧民（户）</w:t>
            </w:r>
          </w:p>
        </w:tc>
        <w:tc>
          <w:tcPr>
            <w:tcW w:w="2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adjustRightInd w:val="0"/>
              <w:snapToGrid w:val="0"/>
              <w:spacing w:line="560" w:lineRule="exact"/>
              <w:ind w:firstLine="560" w:firstLineChars="200"/>
              <w:jc w:val="right"/>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≥1000</w:t>
            </w:r>
          </w:p>
        </w:tc>
      </w:tr>
      <w:tr>
        <w:tblPrEx>
          <w:tblCellMar>
            <w:top w:w="0" w:type="dxa"/>
            <w:left w:w="0" w:type="dxa"/>
            <w:bottom w:w="0" w:type="dxa"/>
            <w:right w:w="0" w:type="dxa"/>
          </w:tblCellMar>
        </w:tblPrEx>
        <w:trPr>
          <w:trHeight w:val="620" w:hRule="exac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center"/>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6</w:t>
            </w:r>
          </w:p>
        </w:tc>
        <w:tc>
          <w:tcPr>
            <w:tcW w:w="5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560" w:firstLineChars="200"/>
              <w:jc w:val="left"/>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农产品电商零售</w:t>
            </w:r>
          </w:p>
        </w:tc>
        <w:tc>
          <w:tcPr>
            <w:tcW w:w="2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240" w:lineRule="atLeast"/>
              <w:jc w:val="right"/>
              <w:textAlignment w:val="center"/>
              <w:rPr>
                <w:rFonts w:hint="eastAsia" w:ascii="仿宋_GB2312" w:hAnsi="仿宋_GB2312" w:eastAsia="仿宋_GB2312" w:cs="仿宋_GB2312"/>
                <w:b w:val="0"/>
                <w:bCs w:val="0"/>
                <w:spacing w:val="-20"/>
                <w:w w:val="90"/>
                <w:kern w:val="0"/>
                <w:sz w:val="24"/>
              </w:rPr>
            </w:pPr>
            <w:r>
              <w:rPr>
                <w:rFonts w:hint="eastAsia" w:ascii="仿宋_GB2312" w:hAnsi="仿宋_GB2312" w:eastAsia="仿宋_GB2312" w:cs="仿宋_GB2312"/>
                <w:b w:val="0"/>
                <w:bCs w:val="0"/>
                <w:spacing w:val="-20"/>
                <w:w w:val="90"/>
                <w:kern w:val="0"/>
                <w:sz w:val="24"/>
              </w:rPr>
              <w:t>达到全国农村平均水平的80%以上</w:t>
            </w:r>
          </w:p>
        </w:tc>
      </w:tr>
      <w:tr>
        <w:tblPrEx>
          <w:tblCellMar>
            <w:top w:w="0" w:type="dxa"/>
            <w:left w:w="0" w:type="dxa"/>
            <w:bottom w:w="0" w:type="dxa"/>
            <w:right w:w="0" w:type="dxa"/>
          </w:tblCellMar>
        </w:tblPrEx>
        <w:trPr>
          <w:trHeight w:val="560" w:hRule="exac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adjustRightInd w:val="0"/>
              <w:snapToGrid w:val="0"/>
              <w:spacing w:line="560" w:lineRule="exact"/>
              <w:jc w:val="center"/>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7</w:t>
            </w:r>
          </w:p>
        </w:tc>
        <w:tc>
          <w:tcPr>
            <w:tcW w:w="5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adjustRightInd w:val="0"/>
              <w:snapToGrid w:val="0"/>
              <w:spacing w:line="560" w:lineRule="exact"/>
              <w:ind w:firstLine="560" w:firstLineChars="200"/>
              <w:jc w:val="left"/>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农产品销售增量</w:t>
            </w:r>
          </w:p>
        </w:tc>
        <w:tc>
          <w:tcPr>
            <w:tcW w:w="2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240" w:lineRule="atLeast"/>
              <w:jc w:val="right"/>
              <w:textAlignment w:val="center"/>
              <w:rPr>
                <w:rFonts w:hint="eastAsia" w:ascii="仿宋_GB2312" w:hAnsi="仿宋_GB2312" w:eastAsia="仿宋_GB2312" w:cs="仿宋_GB2312"/>
                <w:b w:val="0"/>
                <w:bCs w:val="0"/>
                <w:spacing w:val="-28"/>
                <w:kern w:val="0"/>
                <w:sz w:val="28"/>
                <w:szCs w:val="28"/>
              </w:rPr>
            </w:pPr>
            <w:r>
              <w:rPr>
                <w:rFonts w:hint="eastAsia" w:ascii="仿宋_GB2312" w:hAnsi="仿宋_GB2312" w:eastAsia="仿宋_GB2312" w:cs="仿宋_GB2312"/>
                <w:b w:val="0"/>
                <w:bCs w:val="0"/>
                <w:spacing w:val="-28"/>
                <w:kern w:val="0"/>
                <w:sz w:val="24"/>
                <w:szCs w:val="24"/>
              </w:rPr>
              <w:t>达到全国农村平均水平</w:t>
            </w:r>
          </w:p>
        </w:tc>
      </w:tr>
      <w:tr>
        <w:tblPrEx>
          <w:tblCellMar>
            <w:top w:w="0" w:type="dxa"/>
            <w:left w:w="0" w:type="dxa"/>
            <w:bottom w:w="0" w:type="dxa"/>
            <w:right w:w="0" w:type="dxa"/>
          </w:tblCellMar>
        </w:tblPrEx>
        <w:trPr>
          <w:trHeight w:val="510" w:hRule="exac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adjustRightInd w:val="0"/>
              <w:snapToGrid w:val="0"/>
              <w:spacing w:line="560" w:lineRule="exact"/>
              <w:jc w:val="center"/>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8</w:t>
            </w:r>
          </w:p>
        </w:tc>
        <w:tc>
          <w:tcPr>
            <w:tcW w:w="5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adjustRightInd w:val="0"/>
              <w:snapToGrid w:val="0"/>
              <w:spacing w:line="560" w:lineRule="exact"/>
              <w:ind w:firstLine="560" w:firstLineChars="200"/>
              <w:jc w:val="left"/>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帮助贫困户年户均增收（元）</w:t>
            </w:r>
          </w:p>
        </w:tc>
        <w:tc>
          <w:tcPr>
            <w:tcW w:w="2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adjustRightInd w:val="0"/>
              <w:snapToGrid w:val="0"/>
              <w:spacing w:line="560" w:lineRule="exact"/>
              <w:ind w:firstLine="560" w:firstLineChars="200"/>
              <w:jc w:val="right"/>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≥30</w:t>
            </w:r>
          </w:p>
        </w:tc>
      </w:tr>
      <w:tr>
        <w:tblPrEx>
          <w:tblCellMar>
            <w:top w:w="0" w:type="dxa"/>
            <w:left w:w="0" w:type="dxa"/>
            <w:bottom w:w="0" w:type="dxa"/>
            <w:right w:w="0" w:type="dxa"/>
          </w:tblCellMar>
        </w:tblPrEx>
        <w:trPr>
          <w:trHeight w:val="510" w:hRule="exac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adjustRightInd w:val="0"/>
              <w:snapToGrid w:val="0"/>
              <w:spacing w:line="560" w:lineRule="exact"/>
              <w:jc w:val="center"/>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9</w:t>
            </w:r>
          </w:p>
        </w:tc>
        <w:tc>
          <w:tcPr>
            <w:tcW w:w="5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adjustRightInd w:val="0"/>
              <w:snapToGrid w:val="0"/>
              <w:spacing w:line="560" w:lineRule="exact"/>
              <w:ind w:firstLine="560" w:firstLineChars="200"/>
              <w:jc w:val="left"/>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带动就业（人）</w:t>
            </w:r>
          </w:p>
        </w:tc>
        <w:tc>
          <w:tcPr>
            <w:tcW w:w="2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adjustRightInd w:val="0"/>
              <w:snapToGrid w:val="0"/>
              <w:spacing w:line="560" w:lineRule="exact"/>
              <w:ind w:firstLine="560" w:firstLineChars="200"/>
              <w:jc w:val="right"/>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≥300</w:t>
            </w:r>
          </w:p>
        </w:tc>
      </w:tr>
      <w:tr>
        <w:tblPrEx>
          <w:tblCellMar>
            <w:top w:w="0" w:type="dxa"/>
            <w:left w:w="0" w:type="dxa"/>
            <w:bottom w:w="0" w:type="dxa"/>
            <w:right w:w="0" w:type="dxa"/>
          </w:tblCellMar>
        </w:tblPrEx>
        <w:trPr>
          <w:trHeight w:val="510" w:hRule="exact"/>
        </w:trPr>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adjustRightInd w:val="0"/>
              <w:snapToGrid w:val="0"/>
              <w:spacing w:line="560" w:lineRule="exact"/>
              <w:jc w:val="center"/>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10</w:t>
            </w:r>
          </w:p>
        </w:tc>
        <w:tc>
          <w:tcPr>
            <w:tcW w:w="535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top"/>
          </w:tcPr>
          <w:p>
            <w:pPr>
              <w:adjustRightInd w:val="0"/>
              <w:snapToGrid w:val="0"/>
              <w:spacing w:line="560" w:lineRule="exact"/>
              <w:ind w:firstLine="560" w:firstLineChars="200"/>
              <w:jc w:val="left"/>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促进创业（人）</w:t>
            </w:r>
          </w:p>
        </w:tc>
        <w:tc>
          <w:tcPr>
            <w:tcW w:w="276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top"/>
          </w:tcPr>
          <w:p>
            <w:pPr>
              <w:adjustRightInd w:val="0"/>
              <w:snapToGrid w:val="0"/>
              <w:spacing w:line="560" w:lineRule="exact"/>
              <w:ind w:firstLine="560" w:firstLineChars="200"/>
              <w:jc w:val="right"/>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≥100</w:t>
            </w:r>
          </w:p>
        </w:tc>
      </w:tr>
      <w:tr>
        <w:tblPrEx>
          <w:tblCellMar>
            <w:top w:w="0" w:type="dxa"/>
            <w:left w:w="0" w:type="dxa"/>
            <w:bottom w:w="0" w:type="dxa"/>
            <w:right w:w="0" w:type="dxa"/>
          </w:tblCellMar>
        </w:tblPrEx>
        <w:trPr>
          <w:trHeight w:val="510" w:hRule="exact"/>
        </w:trPr>
        <w:tc>
          <w:tcPr>
            <w:tcW w:w="75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adjustRightInd w:val="0"/>
              <w:snapToGrid w:val="0"/>
              <w:spacing w:line="560" w:lineRule="exact"/>
              <w:jc w:val="center"/>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11</w:t>
            </w:r>
          </w:p>
        </w:tc>
        <w:tc>
          <w:tcPr>
            <w:tcW w:w="5352"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top"/>
          </w:tcPr>
          <w:p>
            <w:pPr>
              <w:adjustRightInd w:val="0"/>
              <w:snapToGrid w:val="0"/>
              <w:spacing w:line="560" w:lineRule="exact"/>
              <w:ind w:firstLine="560" w:firstLineChars="200"/>
              <w:jc w:val="left"/>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服务对象满意度</w:t>
            </w:r>
          </w:p>
        </w:tc>
        <w:tc>
          <w:tcPr>
            <w:tcW w:w="2760"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top"/>
          </w:tcPr>
          <w:p>
            <w:pPr>
              <w:adjustRightInd w:val="0"/>
              <w:snapToGrid w:val="0"/>
              <w:spacing w:line="560" w:lineRule="exact"/>
              <w:ind w:firstLine="560" w:firstLineChars="200"/>
              <w:jc w:val="right"/>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≥90%</w:t>
            </w:r>
          </w:p>
        </w:tc>
      </w:tr>
    </w:tbl>
    <w:p>
      <w:pPr>
        <w:adjustRightInd w:val="0"/>
        <w:snapToGrid w:val="0"/>
        <w:spacing w:line="560" w:lineRule="exact"/>
        <w:rPr>
          <w:b/>
          <w:sz w:val="28"/>
          <w:szCs w:val="28"/>
          <w:lang w:val="zh-CN"/>
        </w:rPr>
      </w:pPr>
    </w:p>
    <w:tbl>
      <w:tblPr>
        <w:tblStyle w:val="13"/>
        <w:tblpPr w:leftFromText="180" w:rightFromText="180" w:vertAnchor="text" w:horzAnchor="page" w:tblpX="1676" w:tblpY="355"/>
        <w:tblOverlap w:val="never"/>
        <w:tblW w:w="8787" w:type="dxa"/>
        <w:tblInd w:w="0" w:type="dxa"/>
        <w:tblLayout w:type="autofit"/>
        <w:tblCellMar>
          <w:top w:w="0" w:type="dxa"/>
          <w:left w:w="0" w:type="dxa"/>
          <w:bottom w:w="0" w:type="dxa"/>
          <w:right w:w="0" w:type="dxa"/>
        </w:tblCellMar>
      </w:tblPr>
      <w:tblGrid>
        <w:gridCol w:w="999"/>
        <w:gridCol w:w="5580"/>
        <w:gridCol w:w="2208"/>
      </w:tblGrid>
      <w:tr>
        <w:tblPrEx>
          <w:tblCellMar>
            <w:top w:w="0" w:type="dxa"/>
            <w:left w:w="0" w:type="dxa"/>
            <w:bottom w:w="0" w:type="dxa"/>
            <w:right w:w="0" w:type="dxa"/>
          </w:tblCellMar>
        </w:tblPrEx>
        <w:trPr>
          <w:trHeight w:val="514" w:hRule="atLeast"/>
        </w:trPr>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280" w:firstLineChars="100"/>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序号</w:t>
            </w:r>
          </w:p>
        </w:tc>
        <w:tc>
          <w:tcPr>
            <w:tcW w:w="5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280" w:firstLineChars="100"/>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棉花、化肥储备贴息绩效指标（500万元）</w:t>
            </w:r>
          </w:p>
        </w:tc>
        <w:tc>
          <w:tcPr>
            <w:tcW w:w="2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560" w:firstLineChars="200"/>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指标值</w:t>
            </w:r>
          </w:p>
        </w:tc>
      </w:tr>
      <w:tr>
        <w:tblPrEx>
          <w:tblCellMar>
            <w:top w:w="0" w:type="dxa"/>
            <w:left w:w="0" w:type="dxa"/>
            <w:bottom w:w="0" w:type="dxa"/>
            <w:right w:w="0" w:type="dxa"/>
          </w:tblCellMar>
        </w:tblPrEx>
        <w:trPr>
          <w:trHeight w:val="514" w:hRule="atLeast"/>
        </w:trPr>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560" w:firstLineChars="200"/>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1</w:t>
            </w:r>
          </w:p>
        </w:tc>
        <w:tc>
          <w:tcPr>
            <w:tcW w:w="5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left"/>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完成棉花储备数量</w:t>
            </w:r>
          </w:p>
        </w:tc>
        <w:tc>
          <w:tcPr>
            <w:tcW w:w="2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right"/>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3万吨</w:t>
            </w:r>
          </w:p>
        </w:tc>
      </w:tr>
      <w:tr>
        <w:tblPrEx>
          <w:tblCellMar>
            <w:top w:w="0" w:type="dxa"/>
            <w:left w:w="0" w:type="dxa"/>
            <w:bottom w:w="0" w:type="dxa"/>
            <w:right w:w="0" w:type="dxa"/>
          </w:tblCellMar>
        </w:tblPrEx>
        <w:trPr>
          <w:trHeight w:val="514" w:hRule="atLeast"/>
        </w:trPr>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560" w:firstLineChars="200"/>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2</w:t>
            </w:r>
          </w:p>
        </w:tc>
        <w:tc>
          <w:tcPr>
            <w:tcW w:w="5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left"/>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完成化肥储备数量</w:t>
            </w:r>
          </w:p>
        </w:tc>
        <w:tc>
          <w:tcPr>
            <w:tcW w:w="2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right"/>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30万吨</w:t>
            </w:r>
          </w:p>
        </w:tc>
      </w:tr>
      <w:tr>
        <w:tblPrEx>
          <w:tblCellMar>
            <w:top w:w="0" w:type="dxa"/>
            <w:left w:w="0" w:type="dxa"/>
            <w:bottom w:w="0" w:type="dxa"/>
            <w:right w:w="0" w:type="dxa"/>
          </w:tblCellMar>
        </w:tblPrEx>
        <w:trPr>
          <w:trHeight w:val="580" w:hRule="atLeast"/>
        </w:trPr>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560" w:firstLineChars="200"/>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3</w:t>
            </w:r>
          </w:p>
        </w:tc>
        <w:tc>
          <w:tcPr>
            <w:tcW w:w="5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left"/>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完成省内棉花市场信息采集次数</w:t>
            </w:r>
          </w:p>
        </w:tc>
        <w:tc>
          <w:tcPr>
            <w:tcW w:w="2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right"/>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12次</w:t>
            </w:r>
          </w:p>
        </w:tc>
      </w:tr>
      <w:tr>
        <w:tblPrEx>
          <w:tblCellMar>
            <w:top w:w="0" w:type="dxa"/>
            <w:left w:w="0" w:type="dxa"/>
            <w:bottom w:w="0" w:type="dxa"/>
            <w:right w:w="0" w:type="dxa"/>
          </w:tblCellMar>
        </w:tblPrEx>
        <w:trPr>
          <w:trHeight w:val="514" w:hRule="atLeast"/>
        </w:trPr>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560" w:firstLineChars="200"/>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4</w:t>
            </w:r>
          </w:p>
        </w:tc>
        <w:tc>
          <w:tcPr>
            <w:tcW w:w="5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left"/>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棉花储备资金融资成本率</w:t>
            </w:r>
          </w:p>
        </w:tc>
        <w:tc>
          <w:tcPr>
            <w:tcW w:w="2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right"/>
              <w:textAlignment w:val="center"/>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≤5.65%</w:t>
            </w:r>
          </w:p>
        </w:tc>
      </w:tr>
      <w:tr>
        <w:tblPrEx>
          <w:tblCellMar>
            <w:top w:w="0" w:type="dxa"/>
            <w:left w:w="0" w:type="dxa"/>
            <w:bottom w:w="0" w:type="dxa"/>
            <w:right w:w="0" w:type="dxa"/>
          </w:tblCellMar>
        </w:tblPrEx>
        <w:trPr>
          <w:trHeight w:val="575" w:hRule="atLeast"/>
        </w:trPr>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560" w:firstLineChars="200"/>
              <w:textAlignment w:val="center"/>
              <w:rPr>
                <w:rFonts w:hint="eastAsia" w:ascii="仿宋_GB2312" w:hAnsi="仿宋" w:eastAsia="仿宋_GB2312" w:cs="仿宋"/>
                <w:b w:val="0"/>
                <w:bCs/>
                <w:kern w:val="0"/>
                <w:sz w:val="28"/>
                <w:szCs w:val="28"/>
              </w:rPr>
            </w:pPr>
            <w:r>
              <w:rPr>
                <w:rFonts w:hint="eastAsia" w:ascii="仿宋_GB2312" w:hAnsi="仿宋" w:eastAsia="仿宋_GB2312" w:cs="仿宋"/>
                <w:b w:val="0"/>
                <w:bCs/>
                <w:kern w:val="0"/>
                <w:sz w:val="28"/>
                <w:szCs w:val="28"/>
              </w:rPr>
              <w:t>5</w:t>
            </w:r>
          </w:p>
        </w:tc>
        <w:tc>
          <w:tcPr>
            <w:tcW w:w="5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left"/>
              <w:textAlignment w:val="center"/>
              <w:rPr>
                <w:rFonts w:hint="eastAsia" w:ascii="仿宋_GB2312" w:hAnsi="仿宋" w:eastAsia="仿宋_GB2312" w:cs="仿宋"/>
                <w:b w:val="0"/>
                <w:bCs/>
                <w:kern w:val="0"/>
                <w:sz w:val="28"/>
                <w:szCs w:val="28"/>
              </w:rPr>
            </w:pPr>
            <w:r>
              <w:rPr>
                <w:rFonts w:hint="eastAsia" w:ascii="仿宋_GB2312" w:hAnsi="仿宋" w:eastAsia="仿宋_GB2312" w:cs="仿宋"/>
                <w:b w:val="0"/>
                <w:bCs/>
                <w:kern w:val="0"/>
                <w:sz w:val="28"/>
                <w:szCs w:val="28"/>
              </w:rPr>
              <w:t>棉花储备影响年限</w:t>
            </w:r>
          </w:p>
        </w:tc>
        <w:tc>
          <w:tcPr>
            <w:tcW w:w="2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right"/>
              <w:textAlignment w:val="center"/>
              <w:rPr>
                <w:rFonts w:hint="eastAsia" w:ascii="仿宋_GB2312" w:hAnsi="仿宋" w:eastAsia="仿宋_GB2312" w:cs="仿宋"/>
                <w:b w:val="0"/>
                <w:bCs/>
                <w:kern w:val="0"/>
                <w:sz w:val="28"/>
                <w:szCs w:val="28"/>
              </w:rPr>
            </w:pPr>
            <w:r>
              <w:rPr>
                <w:rFonts w:hint="eastAsia" w:ascii="仿宋_GB2312" w:hAnsi="仿宋" w:eastAsia="仿宋_GB2312" w:cs="仿宋"/>
                <w:b w:val="0"/>
                <w:bCs/>
                <w:kern w:val="0"/>
                <w:sz w:val="28"/>
                <w:szCs w:val="28"/>
              </w:rPr>
              <w:t>≥1年</w:t>
            </w:r>
          </w:p>
        </w:tc>
      </w:tr>
      <w:tr>
        <w:tblPrEx>
          <w:tblCellMar>
            <w:top w:w="0" w:type="dxa"/>
            <w:left w:w="0" w:type="dxa"/>
            <w:bottom w:w="0" w:type="dxa"/>
            <w:right w:w="0" w:type="dxa"/>
          </w:tblCellMar>
        </w:tblPrEx>
        <w:trPr>
          <w:trHeight w:val="560" w:hRule="atLeast"/>
        </w:trPr>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560" w:firstLineChars="200"/>
              <w:textAlignment w:val="center"/>
              <w:rPr>
                <w:rFonts w:hint="eastAsia" w:ascii="仿宋_GB2312" w:hAnsi="仿宋" w:eastAsia="仿宋_GB2312" w:cs="仿宋"/>
                <w:b w:val="0"/>
                <w:bCs/>
                <w:kern w:val="0"/>
                <w:sz w:val="28"/>
                <w:szCs w:val="28"/>
              </w:rPr>
            </w:pPr>
            <w:r>
              <w:rPr>
                <w:rFonts w:hint="eastAsia" w:ascii="仿宋_GB2312" w:hAnsi="仿宋" w:eastAsia="仿宋_GB2312" w:cs="仿宋"/>
                <w:b w:val="0"/>
                <w:bCs/>
                <w:kern w:val="0"/>
                <w:sz w:val="28"/>
                <w:szCs w:val="28"/>
              </w:rPr>
              <w:t>6</w:t>
            </w:r>
          </w:p>
        </w:tc>
        <w:tc>
          <w:tcPr>
            <w:tcW w:w="5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left"/>
              <w:textAlignment w:val="center"/>
              <w:rPr>
                <w:rFonts w:hint="eastAsia" w:ascii="仿宋_GB2312" w:hAnsi="仿宋" w:eastAsia="仿宋_GB2312" w:cs="仿宋"/>
                <w:b w:val="0"/>
                <w:bCs/>
                <w:kern w:val="0"/>
                <w:sz w:val="28"/>
                <w:szCs w:val="28"/>
              </w:rPr>
            </w:pPr>
            <w:r>
              <w:rPr>
                <w:rFonts w:hint="eastAsia" w:ascii="仿宋_GB2312" w:hAnsi="仿宋" w:eastAsia="仿宋_GB2312" w:cs="仿宋"/>
                <w:b w:val="0"/>
                <w:bCs/>
                <w:kern w:val="0"/>
                <w:sz w:val="28"/>
                <w:szCs w:val="28"/>
              </w:rPr>
              <w:t>化肥储备资金融资成本率</w:t>
            </w:r>
          </w:p>
        </w:tc>
        <w:tc>
          <w:tcPr>
            <w:tcW w:w="2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right"/>
              <w:textAlignment w:val="center"/>
              <w:rPr>
                <w:rFonts w:hint="eastAsia" w:ascii="仿宋_GB2312" w:hAnsi="仿宋" w:eastAsia="仿宋_GB2312" w:cs="仿宋"/>
                <w:b w:val="0"/>
                <w:bCs/>
                <w:kern w:val="0"/>
                <w:sz w:val="28"/>
                <w:szCs w:val="28"/>
              </w:rPr>
            </w:pPr>
            <w:r>
              <w:rPr>
                <w:rFonts w:hint="eastAsia" w:ascii="仿宋_GB2312" w:hAnsi="仿宋" w:eastAsia="仿宋_GB2312" w:cs="仿宋"/>
                <w:b w:val="0"/>
                <w:bCs/>
                <w:kern w:val="0"/>
                <w:sz w:val="28"/>
                <w:szCs w:val="28"/>
              </w:rPr>
              <w:t>≤6%</w:t>
            </w:r>
          </w:p>
        </w:tc>
      </w:tr>
      <w:tr>
        <w:tblPrEx>
          <w:tblCellMar>
            <w:top w:w="0" w:type="dxa"/>
            <w:left w:w="0" w:type="dxa"/>
            <w:bottom w:w="0" w:type="dxa"/>
            <w:right w:w="0" w:type="dxa"/>
          </w:tblCellMar>
        </w:tblPrEx>
        <w:trPr>
          <w:trHeight w:val="545" w:hRule="atLeast"/>
        </w:trPr>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560" w:firstLineChars="200"/>
              <w:textAlignment w:val="center"/>
              <w:rPr>
                <w:rFonts w:hint="eastAsia" w:ascii="仿宋_GB2312" w:hAnsi="仿宋" w:eastAsia="仿宋_GB2312" w:cs="仿宋"/>
                <w:b w:val="0"/>
                <w:bCs/>
                <w:kern w:val="0"/>
                <w:sz w:val="28"/>
                <w:szCs w:val="28"/>
              </w:rPr>
            </w:pPr>
            <w:r>
              <w:rPr>
                <w:rFonts w:hint="eastAsia" w:ascii="仿宋_GB2312" w:hAnsi="仿宋" w:eastAsia="仿宋_GB2312" w:cs="仿宋"/>
                <w:b w:val="0"/>
                <w:bCs/>
                <w:kern w:val="0"/>
                <w:sz w:val="28"/>
                <w:szCs w:val="28"/>
              </w:rPr>
              <w:t>7</w:t>
            </w:r>
          </w:p>
        </w:tc>
        <w:tc>
          <w:tcPr>
            <w:tcW w:w="5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left"/>
              <w:textAlignment w:val="center"/>
              <w:rPr>
                <w:rFonts w:hint="eastAsia" w:ascii="仿宋_GB2312" w:hAnsi="仿宋" w:eastAsia="仿宋_GB2312" w:cs="仿宋"/>
                <w:b w:val="0"/>
                <w:bCs/>
                <w:kern w:val="0"/>
                <w:sz w:val="28"/>
                <w:szCs w:val="28"/>
              </w:rPr>
            </w:pPr>
            <w:r>
              <w:rPr>
                <w:rFonts w:hint="eastAsia" w:ascii="仿宋_GB2312" w:hAnsi="仿宋" w:eastAsia="仿宋_GB2312" w:cs="仿宋"/>
                <w:b w:val="0"/>
                <w:bCs/>
                <w:kern w:val="0"/>
                <w:sz w:val="28"/>
                <w:szCs w:val="28"/>
              </w:rPr>
              <w:t>省级化肥淡季储备评审合格率</w:t>
            </w:r>
          </w:p>
        </w:tc>
        <w:tc>
          <w:tcPr>
            <w:tcW w:w="2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right"/>
              <w:textAlignment w:val="center"/>
              <w:rPr>
                <w:rFonts w:hint="eastAsia" w:ascii="仿宋_GB2312" w:hAnsi="仿宋" w:eastAsia="仿宋_GB2312" w:cs="仿宋"/>
                <w:b w:val="0"/>
                <w:bCs/>
                <w:kern w:val="0"/>
                <w:sz w:val="28"/>
                <w:szCs w:val="28"/>
              </w:rPr>
            </w:pPr>
            <w:r>
              <w:rPr>
                <w:rFonts w:hint="eastAsia" w:ascii="仿宋_GB2312" w:hAnsi="仿宋" w:eastAsia="仿宋_GB2312" w:cs="仿宋"/>
                <w:b w:val="0"/>
                <w:bCs/>
                <w:kern w:val="0"/>
                <w:sz w:val="28"/>
                <w:szCs w:val="28"/>
              </w:rPr>
              <w:t>100%</w:t>
            </w:r>
          </w:p>
        </w:tc>
      </w:tr>
      <w:tr>
        <w:tblPrEx>
          <w:tblCellMar>
            <w:top w:w="0" w:type="dxa"/>
            <w:left w:w="0" w:type="dxa"/>
            <w:bottom w:w="0" w:type="dxa"/>
            <w:right w:w="0" w:type="dxa"/>
          </w:tblCellMar>
        </w:tblPrEx>
        <w:trPr>
          <w:trHeight w:val="590" w:hRule="atLeast"/>
        </w:trPr>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560" w:firstLineChars="200"/>
              <w:textAlignment w:val="center"/>
              <w:rPr>
                <w:rFonts w:hint="eastAsia" w:ascii="仿宋_GB2312" w:hAnsi="仿宋" w:eastAsia="仿宋_GB2312" w:cs="仿宋"/>
                <w:b w:val="0"/>
                <w:bCs/>
                <w:kern w:val="0"/>
                <w:sz w:val="28"/>
                <w:szCs w:val="28"/>
              </w:rPr>
            </w:pPr>
            <w:r>
              <w:rPr>
                <w:rFonts w:hint="eastAsia" w:ascii="仿宋_GB2312" w:hAnsi="仿宋" w:eastAsia="仿宋_GB2312" w:cs="仿宋"/>
                <w:b w:val="0"/>
                <w:bCs/>
                <w:kern w:val="0"/>
                <w:sz w:val="28"/>
                <w:szCs w:val="28"/>
              </w:rPr>
              <w:t>8</w:t>
            </w:r>
          </w:p>
        </w:tc>
        <w:tc>
          <w:tcPr>
            <w:tcW w:w="5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left"/>
              <w:textAlignment w:val="center"/>
              <w:rPr>
                <w:rFonts w:hint="eastAsia" w:ascii="仿宋_GB2312" w:hAnsi="仿宋" w:eastAsia="仿宋_GB2312" w:cs="仿宋"/>
                <w:b w:val="0"/>
                <w:bCs/>
                <w:kern w:val="0"/>
                <w:sz w:val="28"/>
                <w:szCs w:val="28"/>
              </w:rPr>
            </w:pPr>
            <w:r>
              <w:rPr>
                <w:rFonts w:hint="eastAsia" w:ascii="仿宋_GB2312" w:hAnsi="仿宋" w:eastAsia="仿宋_GB2312" w:cs="仿宋"/>
                <w:b w:val="0"/>
                <w:bCs/>
                <w:kern w:val="0"/>
                <w:sz w:val="28"/>
                <w:szCs w:val="28"/>
              </w:rPr>
              <w:t>省级化肥淡季储备影响率</w:t>
            </w:r>
          </w:p>
        </w:tc>
        <w:tc>
          <w:tcPr>
            <w:tcW w:w="2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right"/>
              <w:textAlignment w:val="center"/>
              <w:rPr>
                <w:rFonts w:hint="eastAsia" w:ascii="仿宋_GB2312" w:hAnsi="仿宋" w:eastAsia="仿宋_GB2312" w:cs="仿宋"/>
                <w:b w:val="0"/>
                <w:bCs/>
                <w:kern w:val="0"/>
                <w:sz w:val="28"/>
                <w:szCs w:val="28"/>
              </w:rPr>
            </w:pPr>
            <w:r>
              <w:rPr>
                <w:rFonts w:hint="eastAsia" w:ascii="仿宋_GB2312" w:hAnsi="仿宋" w:eastAsia="仿宋_GB2312" w:cs="仿宋"/>
                <w:b w:val="0"/>
                <w:bCs/>
                <w:kern w:val="0"/>
                <w:sz w:val="28"/>
                <w:szCs w:val="28"/>
              </w:rPr>
              <w:t>99%</w:t>
            </w:r>
          </w:p>
        </w:tc>
      </w:tr>
      <w:tr>
        <w:tblPrEx>
          <w:tblCellMar>
            <w:top w:w="0" w:type="dxa"/>
            <w:left w:w="0" w:type="dxa"/>
            <w:bottom w:w="0" w:type="dxa"/>
            <w:right w:w="0" w:type="dxa"/>
          </w:tblCellMar>
        </w:tblPrEx>
        <w:trPr>
          <w:trHeight w:val="600" w:hRule="atLeast"/>
        </w:trPr>
        <w:tc>
          <w:tcPr>
            <w:tcW w:w="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ind w:firstLine="560" w:firstLineChars="200"/>
              <w:textAlignment w:val="center"/>
              <w:rPr>
                <w:rFonts w:hint="eastAsia" w:ascii="仿宋_GB2312" w:hAnsi="仿宋" w:eastAsia="仿宋_GB2312" w:cs="仿宋"/>
                <w:b w:val="0"/>
                <w:bCs/>
                <w:kern w:val="0"/>
                <w:sz w:val="28"/>
                <w:szCs w:val="28"/>
              </w:rPr>
            </w:pPr>
            <w:r>
              <w:rPr>
                <w:rFonts w:hint="eastAsia" w:ascii="仿宋_GB2312" w:hAnsi="仿宋" w:eastAsia="仿宋_GB2312" w:cs="仿宋"/>
                <w:b w:val="0"/>
                <w:bCs/>
                <w:kern w:val="0"/>
                <w:sz w:val="28"/>
                <w:szCs w:val="28"/>
              </w:rPr>
              <w:t>9</w:t>
            </w:r>
          </w:p>
        </w:tc>
        <w:tc>
          <w:tcPr>
            <w:tcW w:w="55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left"/>
              <w:textAlignment w:val="center"/>
              <w:rPr>
                <w:rFonts w:hint="eastAsia" w:ascii="仿宋_GB2312" w:hAnsi="仿宋" w:eastAsia="仿宋_GB2312" w:cs="仿宋"/>
                <w:b w:val="0"/>
                <w:bCs/>
                <w:kern w:val="0"/>
                <w:sz w:val="28"/>
                <w:szCs w:val="28"/>
              </w:rPr>
            </w:pPr>
            <w:r>
              <w:rPr>
                <w:rFonts w:hint="eastAsia" w:ascii="仿宋_GB2312" w:hAnsi="仿宋" w:eastAsia="仿宋_GB2312" w:cs="仿宋"/>
                <w:b w:val="0"/>
                <w:bCs/>
                <w:kern w:val="0"/>
                <w:sz w:val="28"/>
                <w:szCs w:val="28"/>
              </w:rPr>
              <w:t>省级化肥淡季储备影响年限</w:t>
            </w:r>
          </w:p>
        </w:tc>
        <w:tc>
          <w:tcPr>
            <w:tcW w:w="2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60" w:lineRule="exact"/>
              <w:jc w:val="right"/>
              <w:textAlignment w:val="center"/>
              <w:rPr>
                <w:rFonts w:hint="eastAsia" w:ascii="仿宋_GB2312" w:hAnsi="仿宋" w:eastAsia="仿宋_GB2312" w:cs="仿宋"/>
                <w:b w:val="0"/>
                <w:bCs/>
                <w:kern w:val="0"/>
                <w:sz w:val="28"/>
                <w:szCs w:val="28"/>
              </w:rPr>
            </w:pPr>
            <w:r>
              <w:rPr>
                <w:rFonts w:hint="eastAsia" w:ascii="仿宋_GB2312" w:hAnsi="仿宋" w:eastAsia="仿宋_GB2312" w:cs="仿宋"/>
                <w:b w:val="0"/>
                <w:bCs/>
                <w:kern w:val="0"/>
                <w:sz w:val="28"/>
                <w:szCs w:val="28"/>
              </w:rPr>
              <w:t>≥1年</w:t>
            </w:r>
          </w:p>
        </w:tc>
      </w:tr>
    </w:tbl>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宋体"/>
          <w:b w:val="0"/>
          <w:bCs w:val="0"/>
          <w:sz w:val="32"/>
          <w:szCs w:val="32"/>
          <w:lang w:val="zh-CN"/>
        </w:rPr>
      </w:pPr>
      <w:r>
        <w:rPr>
          <w:rFonts w:hint="eastAsia" w:ascii="仿宋_GB2312" w:hAnsi="仿宋_GB2312" w:eastAsia="仿宋_GB2312" w:cs="仿宋_GB2312"/>
          <w:b w:val="0"/>
          <w:bCs w:val="0"/>
          <w:sz w:val="32"/>
          <w:szCs w:val="32"/>
        </w:rPr>
        <w:t xml:space="preserve">    3.</w:t>
      </w:r>
      <w:r>
        <w:rPr>
          <w:rFonts w:hint="eastAsia" w:ascii="仿宋_GB2312" w:hAnsi="仿宋_GB2312" w:eastAsia="仿宋_GB2312" w:cs="仿宋_GB2312"/>
          <w:b w:val="0"/>
          <w:bCs w:val="0"/>
          <w:sz w:val="32"/>
          <w:szCs w:val="32"/>
          <w:lang w:val="zh-CN"/>
        </w:rPr>
        <w:t>项目申报内容与实际相符，申报目标合理可行。</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ascii="楷体_GB2312" w:hAnsi="宋体" w:eastAsia="楷体_GB2312"/>
          <w:b w:val="0"/>
          <w:bCs w:val="0"/>
          <w:sz w:val="32"/>
          <w:szCs w:val="32"/>
          <w:lang w:val="zh-CN"/>
        </w:rPr>
      </w:pPr>
      <w:r>
        <w:rPr>
          <w:rFonts w:hint="eastAsia" w:ascii="楷体_GB2312" w:hAnsi="宋体" w:eastAsia="楷体_GB2312"/>
          <w:b w:val="0"/>
          <w:bCs w:val="0"/>
          <w:sz w:val="32"/>
          <w:szCs w:val="32"/>
          <w:lang w:val="zh-CN"/>
        </w:rPr>
        <w:t>（三）项目自评步骤及方法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由各项目实施单位组织开展自评，县级供销社联合财政等相关部门开展绩效评价，报送绩效评价报告。省社根据各单位自评情况，结合抽查、审计反馈问题整改落实等情况，进行考评，完成省级主管部门自评工作。</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ascii="黑体" w:hAnsi="宋体" w:eastAsia="黑体"/>
          <w:b w:val="0"/>
          <w:bCs w:val="0"/>
          <w:sz w:val="32"/>
          <w:szCs w:val="32"/>
        </w:rPr>
      </w:pPr>
      <w:r>
        <w:rPr>
          <w:rFonts w:hint="eastAsia" w:ascii="黑体" w:hAnsi="宋体" w:eastAsia="黑体"/>
          <w:b w:val="0"/>
          <w:bCs w:val="0"/>
          <w:sz w:val="32"/>
          <w:szCs w:val="32"/>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_GB2312" w:hAnsi="宋体" w:eastAsia="楷体_GB2312"/>
          <w:b w:val="0"/>
          <w:bCs w:val="0"/>
          <w:sz w:val="32"/>
          <w:szCs w:val="32"/>
          <w:lang w:val="zh-CN"/>
        </w:rPr>
      </w:pPr>
      <w:r>
        <w:rPr>
          <w:rFonts w:hint="eastAsia" w:ascii="楷体_GB2312" w:hAnsi="宋体" w:eastAsia="楷体_GB2312"/>
          <w:b w:val="0"/>
          <w:bCs w:val="0"/>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关于下达2020年省级供销综合改革及发展专项资金的通知》（川财建〔2020〕186号），省财政下达省级综改专项资金3000万元，用于支持15个深度贫困县建设县级为农服务中心（含电商体验中心）和基层经营服务网络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根据《关于下达2020年省级供销综合改革及发展专项资金预算的通知》（川财建〔2020〕444号），省财政下达对下转移支付资金合计4681万元，用于支持供销社系统综合改革；</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宋体"/>
          <w:b w:val="0"/>
          <w:bCs w:val="0"/>
          <w:sz w:val="32"/>
          <w:szCs w:val="32"/>
        </w:rPr>
      </w:pPr>
      <w:r>
        <w:rPr>
          <w:rFonts w:hint="eastAsia" w:ascii="仿宋_GB2312" w:hAnsi="仿宋_GB2312" w:eastAsia="仿宋_GB2312" w:cs="仿宋_GB2312"/>
          <w:b w:val="0"/>
          <w:bCs w:val="0"/>
          <w:sz w:val="32"/>
          <w:szCs w:val="32"/>
        </w:rPr>
        <w:t>根据省供销社《关于申请使用省级应急资金用于抗洪救灾的函》，省财政在预留省本级应急资金909万元中，安排转移支付成都、绵阳、德阳、雅安4个市及四川省商贸学校、四川省贸易学校合计415万元应急救灾资金</w:t>
      </w:r>
      <w:r>
        <w:rPr>
          <w:rFonts w:hint="eastAsia" w:ascii="仿宋_GB2312" w:hAnsi="宋体"/>
          <w:b w:val="0"/>
          <w:bCs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关于申请拨付2020年省级供销综合改革及发展专项资金用于补充化肥和棉花商业储备贴息补助的函》，省财政拨付500万元用于疫情期间的稳价保供，补助化肥储备贴息补助300万元，棉花储备贴息补助200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按照《关于做好2020年省级供销综合改革及发展专项资金使用管理的通知》（川供财〔2020〕244号）相关要求，各市（州）供销社和试点县（区）要按照《资金管理办法》和省社《省级供销综合改革及发展专项资金管理规程》的要求，严格落实转移支付资金使用管理的主体责任，加强与同级财政部门的沟通协调，结合本区域供销社改革发展实际，按照本《通知》规定的资金支持方向和相关《指引》，优选重点区域、重点项目、重点业务，及时制定专项资金使用分配方案，按规定公示公开，并报省社备案。</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楷体_GB2312" w:hAnsi="宋体" w:eastAsia="楷体_GB2312"/>
          <w:b w:val="0"/>
          <w:bCs w:val="0"/>
          <w:sz w:val="32"/>
          <w:szCs w:val="32"/>
          <w:lang w:val="zh-CN"/>
        </w:rPr>
      </w:pPr>
      <w:r>
        <w:rPr>
          <w:rFonts w:hint="eastAsia" w:ascii="楷体_GB2312" w:hAnsi="宋体" w:eastAsia="楷体_GB2312"/>
          <w:b w:val="0"/>
          <w:bCs w:val="0"/>
          <w:sz w:val="32"/>
          <w:szCs w:val="32"/>
          <w:lang w:val="zh-CN"/>
        </w:rPr>
        <w:t xml:space="preserve">    （</w:t>
      </w:r>
      <w:r>
        <w:rPr>
          <w:rFonts w:hint="eastAsia" w:ascii="楷体_GB2312" w:hAnsi="宋体" w:eastAsia="楷体_GB2312"/>
          <w:b w:val="0"/>
          <w:bCs w:val="0"/>
          <w:sz w:val="32"/>
          <w:szCs w:val="32"/>
        </w:rPr>
        <w:t>二</w:t>
      </w:r>
      <w:r>
        <w:rPr>
          <w:rFonts w:hint="eastAsia" w:ascii="楷体_GB2312" w:hAnsi="宋体" w:eastAsia="楷体_GB2312"/>
          <w:b w:val="0"/>
          <w:bCs w:val="0"/>
          <w:sz w:val="32"/>
          <w:szCs w:val="32"/>
          <w:lang w:val="zh-CN"/>
        </w:rPr>
        <w:t>）资金计划、到位及使用情况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zh-CN"/>
        </w:rPr>
        <w:t>资金计划。20</w:t>
      </w:r>
      <w:r>
        <w:rPr>
          <w:rFonts w:hint="eastAsia"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lang w:val="zh-CN"/>
        </w:rPr>
        <w:t>年省级</w:t>
      </w:r>
      <w:r>
        <w:rPr>
          <w:rFonts w:hint="eastAsia" w:ascii="仿宋_GB2312" w:hAnsi="仿宋_GB2312" w:eastAsia="仿宋_GB2312" w:cs="仿宋_GB2312"/>
          <w:b w:val="0"/>
          <w:bCs w:val="0"/>
          <w:sz w:val="32"/>
          <w:szCs w:val="32"/>
        </w:rPr>
        <w:t>综改</w:t>
      </w:r>
      <w:r>
        <w:rPr>
          <w:rFonts w:hint="eastAsia" w:ascii="仿宋_GB2312" w:hAnsi="仿宋_GB2312" w:eastAsia="仿宋_GB2312" w:cs="仿宋_GB2312"/>
          <w:b w:val="0"/>
          <w:bCs w:val="0"/>
          <w:sz w:val="32"/>
          <w:szCs w:val="32"/>
          <w:lang w:val="zh-CN"/>
        </w:rPr>
        <w:t>资金</w:t>
      </w:r>
      <w:r>
        <w:rPr>
          <w:rFonts w:hint="eastAsia" w:ascii="仿宋_GB2312" w:hAnsi="仿宋_GB2312" w:eastAsia="仿宋_GB2312" w:cs="仿宋_GB2312"/>
          <w:b w:val="0"/>
          <w:bCs w:val="0"/>
          <w:sz w:val="32"/>
          <w:szCs w:val="32"/>
        </w:rPr>
        <w:t>9090万元，</w:t>
      </w:r>
      <w:r>
        <w:rPr>
          <w:rFonts w:hint="eastAsia" w:ascii="仿宋_GB2312" w:hAnsi="仿宋_GB2312" w:eastAsia="仿宋_GB2312" w:cs="仿宋_GB2312"/>
          <w:b w:val="0"/>
          <w:bCs w:val="0"/>
          <w:sz w:val="32"/>
          <w:szCs w:val="32"/>
          <w:lang w:val="zh-CN"/>
        </w:rPr>
        <w:t>用于支持深度贫困县建设供销合作社县级为农服务中心（含电商体验中心）和基层经营服务网络体系3000万元；用于支持全省供销社系统综合改革4181万元；用于支持“三社融合”试点500万元；用于补充省级化肥和棉花商业储备贴息补助500万元；用于应急救灾资金909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zh-CN"/>
        </w:rPr>
        <w:t>2．资金到位和使用情况。截</w:t>
      </w:r>
      <w:r>
        <w:rPr>
          <w:rFonts w:hint="eastAsia" w:ascii="仿宋_GB2312" w:hAnsi="仿宋_GB2312" w:eastAsia="仿宋_GB2312" w:cs="仿宋_GB2312"/>
          <w:b w:val="0"/>
          <w:bCs w:val="0"/>
          <w:sz w:val="32"/>
          <w:szCs w:val="32"/>
        </w:rPr>
        <w:t>至</w:t>
      </w:r>
      <w:r>
        <w:rPr>
          <w:rFonts w:hint="eastAsia" w:ascii="仿宋_GB2312" w:hAnsi="仿宋_GB2312" w:eastAsia="仿宋_GB2312" w:cs="仿宋_GB2312"/>
          <w:b w:val="0"/>
          <w:bCs w:val="0"/>
          <w:sz w:val="32"/>
          <w:szCs w:val="32"/>
          <w:lang w:val="zh-CN"/>
        </w:rPr>
        <w:t>评价时点，</w:t>
      </w:r>
      <w:r>
        <w:rPr>
          <w:rFonts w:hint="eastAsia" w:ascii="仿宋_GB2312" w:hAnsi="仿宋_GB2312" w:eastAsia="仿宋_GB2312" w:cs="仿宋_GB2312"/>
          <w:b w:val="0"/>
          <w:bCs w:val="0"/>
          <w:sz w:val="32"/>
          <w:szCs w:val="32"/>
        </w:rPr>
        <w:t>化肥和棉花储备资金500万元全部使用；“三社融合”转移支付资金使用496.45万元（因实行报账制，宜宾市叙州区尚余3.55万元正在报账过程中）；应急资金使用303.16万元（</w:t>
      </w:r>
      <w:r>
        <w:rPr>
          <w:rFonts w:hint="eastAsia" w:ascii="仿宋_GB2312" w:hAnsi="仿宋_GB2312" w:eastAsia="仿宋_GB2312" w:cs="仿宋_GB2312"/>
          <w:b w:val="0"/>
          <w:bCs w:val="0"/>
          <w:sz w:val="32"/>
          <w:szCs w:val="32"/>
          <w:lang w:val="zh-CN"/>
        </w:rPr>
        <w:t>雅安市</w:t>
      </w:r>
      <w:r>
        <w:rPr>
          <w:rFonts w:hint="eastAsia" w:ascii="仿宋_GB2312" w:hAnsi="仿宋_GB2312" w:eastAsia="仿宋_GB2312" w:cs="仿宋_GB2312"/>
          <w:b w:val="0"/>
          <w:bCs w:val="0"/>
          <w:sz w:val="32"/>
          <w:szCs w:val="32"/>
        </w:rPr>
        <w:t>尚有81.36万元、四川省贸易学校尚有15.48万元未使用完）；全省供销系统综合改革转移支付资金使用784.03万元（仅自贡、广元和巴中市资金使用完，其余市州仅使用部分专项或者尚未使用专项资金）；产业扶贫项目资金使用209.17万元（色达县12万元，得荣县190万元，壤塘县7.17万元）。具体情况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产业扶贫资金3000万元到位、使用情况。根据《深度贫困县脱贫攻坚产业扶贫专项供销扶贫2020年度攻坚方案》（川供经〔2020〕81号）资金安排，切块省级供销综合改革及发展专项资金3000万元，按照15个深度贫困县每个县200万元的标准补助；2020年8月，足额拨付到了相关市州财政，资金到位率100%。截至2021年4月底,15个项目按建设进度有序推进。色达县支付12万元，得荣县支付190万元，壤塘县支付7.17万元。项目尚未支付的资金，将根据建设进度，严格按照程序和要求支付到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转移支付4181万元资金到位、使用情况。全省综改专项资金对下转移支付4181万元因下达时间较晚并受疫情影响，仅支出784.03万，安排资金用于基层社标杆社、农民专合社示范社建设230万元，现代流通体系建设391.93万元，农事（土地）托管服务88万元，管理咨询服务费74.1万元。尚未安排资金总额3396.97万元。经报省社党组审定，各市州剩余专项资金可结转到下年按照2021年省级供销综改专项资金使用指引相关要求统筹使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三社融合”资金500万元到位、使用情况。省社选取泸县、犍为县、宜宾市叙州区、通江县、雅安市雨城区供销社5个试点为全省供销社系统“三社融合”提供试点经验，助推农村集体经济发展壮大、农民专业合作社规范提升。2020年12月财政下达500万元（每个试点100万元），截至评价时点，泸县、犍为县、通江县、雅安市雨城区供销社已全部使用，宜宾市叙州区试点内容已全部建设完成，已先期投入资金147.5万元，其中使用财政资金96.45万元，尚余3.55万元正在报账过程中，资金使用率99.3%。</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化肥棉花储备贴息500万元到位、使用情况。省社委托中介对承担2019年至2020年省级化肥和棉花商业储备任务完成情况进行了审计评价。根据审计评价，2019年11月至2020年4月储备期间，省社直属企业邦力达农资连锁有限公司及其子公司累计调入量为128.18万吨，在储备期间完成了2020年的省级化肥储备任务。2019年7月至2020年6月储备期间，省社直属企业四川省棉麻集团有限公司累计购入棉花11.48万吨，完成了2019—2020年的省级棉花储备任务。资金到位500万元用于补充化肥和棉花商业储备贴息补助，使用率100%。</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w:t>
      </w: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val="zh-CN"/>
        </w:rPr>
        <w:t>）应急资金</w:t>
      </w:r>
      <w:r>
        <w:rPr>
          <w:rFonts w:hint="eastAsia" w:ascii="仿宋_GB2312" w:hAnsi="仿宋_GB2312" w:eastAsia="仿宋_GB2312" w:cs="仿宋_GB2312"/>
          <w:b w:val="0"/>
          <w:bCs w:val="0"/>
          <w:sz w:val="32"/>
          <w:szCs w:val="32"/>
        </w:rPr>
        <w:t>415万元</w:t>
      </w:r>
      <w:r>
        <w:rPr>
          <w:rFonts w:hint="eastAsia" w:ascii="仿宋_GB2312" w:hAnsi="仿宋_GB2312" w:eastAsia="仿宋_GB2312" w:cs="仿宋_GB2312"/>
          <w:b w:val="0"/>
          <w:bCs w:val="0"/>
          <w:sz w:val="32"/>
          <w:szCs w:val="32"/>
          <w:lang w:val="zh-CN"/>
        </w:rPr>
        <w:t>到位、使用情况。受“8.11”特大暴雨影响，我省部分市（州）供销社和直属单位受灾情况严重，经营服务体系受损较重，根据《四川省财政厅 四川省供销合作社联合社关于下达“8</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zh-CN"/>
        </w:rPr>
        <w:t>11”洪灾供销应急资金预算的通知》（川财建〔2020〕249号）文件下达415万专项资金用于支持受灾地区供销系统及学校抢险救灾支出。资金到位率为100%，截至</w:t>
      </w:r>
      <w:r>
        <w:rPr>
          <w:rFonts w:hint="eastAsia" w:ascii="仿宋_GB2312" w:hAnsi="仿宋_GB2312" w:eastAsia="仿宋_GB2312" w:cs="仿宋_GB2312"/>
          <w:b w:val="0"/>
          <w:bCs w:val="0"/>
          <w:sz w:val="32"/>
          <w:szCs w:val="32"/>
        </w:rPr>
        <w:t>目前</w:t>
      </w:r>
      <w:r>
        <w:rPr>
          <w:rFonts w:hint="eastAsia" w:ascii="仿宋_GB2312" w:hAnsi="仿宋_GB2312" w:eastAsia="仿宋_GB2312" w:cs="仿宋_GB2312"/>
          <w:b w:val="0"/>
          <w:bCs w:val="0"/>
          <w:sz w:val="32"/>
          <w:szCs w:val="32"/>
          <w:lang w:val="zh-CN"/>
        </w:rPr>
        <w:t>，</w:t>
      </w:r>
      <w:r>
        <w:rPr>
          <w:rFonts w:hint="eastAsia" w:ascii="仿宋_GB2312" w:hAnsi="仿宋_GB2312" w:eastAsia="仿宋_GB2312" w:cs="仿宋_GB2312"/>
          <w:b w:val="0"/>
          <w:bCs w:val="0"/>
          <w:sz w:val="32"/>
          <w:szCs w:val="32"/>
        </w:rPr>
        <w:t>项目已全部完工。其中：已拨付</w:t>
      </w:r>
      <w:r>
        <w:rPr>
          <w:rFonts w:hint="eastAsia" w:ascii="仿宋_GB2312" w:hAnsi="仿宋_GB2312" w:eastAsia="仿宋_GB2312" w:cs="仿宋_GB2312"/>
          <w:b w:val="0"/>
          <w:bCs w:val="0"/>
          <w:sz w:val="32"/>
          <w:szCs w:val="32"/>
          <w:lang w:val="zh-CN"/>
        </w:rPr>
        <w:t>使用资金</w:t>
      </w:r>
      <w:r>
        <w:rPr>
          <w:rFonts w:hint="eastAsia" w:ascii="仿宋_GB2312" w:hAnsi="仿宋_GB2312" w:eastAsia="仿宋_GB2312" w:cs="仿宋_GB2312"/>
          <w:b w:val="0"/>
          <w:bCs w:val="0"/>
          <w:sz w:val="32"/>
          <w:szCs w:val="32"/>
        </w:rPr>
        <w:t>401.7</w:t>
      </w:r>
      <w:r>
        <w:rPr>
          <w:rFonts w:hint="eastAsia" w:ascii="仿宋_GB2312" w:hAnsi="仿宋_GB2312" w:eastAsia="仿宋_GB2312" w:cs="仿宋_GB2312"/>
          <w:b w:val="0"/>
          <w:bCs w:val="0"/>
          <w:sz w:val="32"/>
          <w:szCs w:val="32"/>
          <w:lang w:val="zh-CN"/>
        </w:rPr>
        <w:t>万元（雅安市芦山县</w:t>
      </w:r>
      <w:r>
        <w:rPr>
          <w:rFonts w:hint="eastAsia" w:ascii="仿宋_GB2312" w:hAnsi="仿宋_GB2312" w:eastAsia="仿宋_GB2312" w:cs="仿宋_GB2312"/>
          <w:b w:val="0"/>
          <w:bCs w:val="0"/>
          <w:sz w:val="32"/>
          <w:szCs w:val="32"/>
        </w:rPr>
        <w:t>的</w:t>
      </w:r>
      <w:r>
        <w:rPr>
          <w:rFonts w:hint="eastAsia" w:ascii="仿宋_GB2312" w:hAnsi="仿宋_GB2312" w:eastAsia="仿宋_GB2312" w:cs="仿宋_GB2312"/>
          <w:b w:val="0"/>
          <w:bCs w:val="0"/>
          <w:sz w:val="32"/>
          <w:szCs w:val="32"/>
          <w:lang w:val="zh-CN"/>
        </w:rPr>
        <w:t>应急资金统筹用于学校恢复重建）；未</w:t>
      </w:r>
      <w:r>
        <w:rPr>
          <w:rFonts w:hint="eastAsia" w:ascii="仿宋_GB2312" w:hAnsi="仿宋_GB2312" w:eastAsia="仿宋_GB2312" w:cs="仿宋_GB2312"/>
          <w:b w:val="0"/>
          <w:bCs w:val="0"/>
          <w:sz w:val="32"/>
          <w:szCs w:val="32"/>
        </w:rPr>
        <w:t>拨付13.3</w:t>
      </w:r>
      <w:r>
        <w:rPr>
          <w:rFonts w:hint="eastAsia" w:ascii="仿宋_GB2312" w:hAnsi="仿宋_GB2312" w:eastAsia="仿宋_GB2312" w:cs="仿宋_GB2312"/>
          <w:b w:val="0"/>
          <w:bCs w:val="0"/>
          <w:sz w:val="32"/>
          <w:szCs w:val="32"/>
          <w:lang w:val="zh-CN"/>
        </w:rPr>
        <w:t>万元（</w:t>
      </w:r>
      <w:r>
        <w:rPr>
          <w:rFonts w:hint="eastAsia" w:ascii="仿宋_GB2312" w:hAnsi="仿宋_GB2312" w:eastAsia="仿宋_GB2312" w:cs="仿宋_GB2312"/>
          <w:b w:val="0"/>
          <w:bCs w:val="0"/>
          <w:sz w:val="32"/>
          <w:szCs w:val="32"/>
        </w:rPr>
        <w:t>主要是雅安雨城区购置应急设备预留质保金5万元，石棉县抢险工程完工后未验收，待验收并财评后支付工程款8.3万元</w:t>
      </w:r>
      <w:r>
        <w:rPr>
          <w:rFonts w:hint="eastAsia" w:ascii="仿宋_GB2312" w:hAnsi="仿宋_GB2312" w:eastAsia="仿宋_GB2312" w:cs="仿宋_GB2312"/>
          <w:b w:val="0"/>
          <w:bCs w:val="0"/>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楷体_GB2312" w:hAnsi="宋体" w:eastAsia="楷体_GB2312"/>
          <w:b w:val="0"/>
          <w:bCs w:val="0"/>
          <w:sz w:val="32"/>
          <w:szCs w:val="32"/>
          <w:lang w:val="zh-CN"/>
        </w:rPr>
      </w:pPr>
      <w:r>
        <w:rPr>
          <w:rFonts w:hint="eastAsia" w:ascii="楷体_GB2312" w:hAnsi="宋体" w:eastAsia="楷体_GB2312"/>
          <w:b w:val="0"/>
          <w:bCs w:val="0"/>
          <w:sz w:val="32"/>
          <w:szCs w:val="32"/>
          <w:lang w:val="zh-CN"/>
        </w:rPr>
        <w:t xml:space="preserve">    （三）项目财务管理情况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已实施项目单位针对项目工作，建立健全了财务管理制度，严格执行财务管理有关制度规定，及时完成账务处理，规范进行了会计核算。</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ascii="黑体" w:hAnsi="宋体" w:eastAsia="黑体"/>
          <w:b w:val="0"/>
          <w:bCs w:val="0"/>
          <w:sz w:val="32"/>
          <w:szCs w:val="32"/>
        </w:rPr>
      </w:pPr>
      <w:r>
        <w:rPr>
          <w:rFonts w:hint="eastAsia" w:ascii="黑体" w:hAnsi="宋体" w:eastAsia="黑体"/>
          <w:b w:val="0"/>
          <w:bCs w:val="0"/>
          <w:sz w:val="32"/>
          <w:szCs w:val="32"/>
        </w:rPr>
        <w:t>三、项目实施及管理情</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ascii="楷体_GB2312" w:hAnsi="宋体" w:eastAsia="楷体_GB2312"/>
          <w:b w:val="0"/>
          <w:bCs w:val="0"/>
          <w:sz w:val="32"/>
          <w:szCs w:val="32"/>
          <w:lang w:val="zh-CN"/>
        </w:rPr>
      </w:pPr>
      <w:r>
        <w:rPr>
          <w:rFonts w:hint="eastAsia" w:ascii="楷体_GB2312" w:hAnsi="宋体" w:eastAsia="楷体_GB2312"/>
          <w:b w:val="0"/>
          <w:bCs w:val="0"/>
          <w:sz w:val="32"/>
          <w:szCs w:val="32"/>
          <w:lang w:val="zh-CN"/>
        </w:rPr>
        <w:t>（一）项目组织架构及实施流程。</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rPr>
        <w:t>已实施项目单位</w:t>
      </w:r>
      <w:r>
        <w:rPr>
          <w:rFonts w:hint="eastAsia" w:ascii="仿宋_GB2312" w:hAnsi="仿宋_GB2312" w:eastAsia="仿宋_GB2312" w:cs="仿宋_GB2312"/>
          <w:b w:val="0"/>
          <w:bCs w:val="0"/>
          <w:sz w:val="32"/>
          <w:szCs w:val="32"/>
          <w:lang w:val="zh-CN"/>
        </w:rPr>
        <w:t>及时制定项目实施方案报省社备案，严格按照方案计划开展招标比选、组织建设、项目验收审计、申请资金拨付。项目实施单位、作为主管部门的</w:t>
      </w:r>
      <w:r>
        <w:rPr>
          <w:rFonts w:hint="eastAsia" w:ascii="仿宋_GB2312" w:hAnsi="仿宋_GB2312" w:eastAsia="仿宋_GB2312" w:cs="仿宋_GB2312"/>
          <w:b w:val="0"/>
          <w:bCs w:val="0"/>
          <w:sz w:val="32"/>
          <w:szCs w:val="32"/>
        </w:rPr>
        <w:t>市</w:t>
      </w:r>
      <w:r>
        <w:rPr>
          <w:rFonts w:hint="eastAsia" w:ascii="仿宋_GB2312" w:hAnsi="仿宋_GB2312" w:eastAsia="仿宋_GB2312" w:cs="仿宋_GB2312"/>
          <w:b w:val="0"/>
          <w:bCs w:val="0"/>
          <w:sz w:val="32"/>
          <w:szCs w:val="32"/>
          <w:lang w:val="zh-CN"/>
        </w:rPr>
        <w:t>县社先后开展项目支出绩效自评，县社上报省社项目支出绩效评价报告。</w:t>
      </w:r>
      <w:r>
        <w:rPr>
          <w:rFonts w:hint="eastAsia" w:ascii="仿宋_GB2312" w:hAnsi="仿宋_GB2312" w:eastAsia="仿宋_GB2312" w:cs="仿宋_GB2312"/>
          <w:b w:val="0"/>
          <w:bCs w:val="0"/>
          <w:sz w:val="32"/>
          <w:szCs w:val="32"/>
        </w:rPr>
        <w:t>相关业务</w:t>
      </w:r>
      <w:r>
        <w:rPr>
          <w:rFonts w:hint="eastAsia" w:ascii="仿宋_GB2312" w:hAnsi="仿宋_GB2312" w:eastAsia="仿宋_GB2312" w:cs="仿宋_GB2312"/>
          <w:b w:val="0"/>
          <w:bCs w:val="0"/>
          <w:sz w:val="32"/>
          <w:szCs w:val="32"/>
          <w:lang w:val="zh-CN"/>
        </w:rPr>
        <w:t>处</w:t>
      </w:r>
      <w:r>
        <w:rPr>
          <w:rFonts w:hint="eastAsia" w:ascii="仿宋_GB2312" w:hAnsi="仿宋_GB2312" w:eastAsia="仿宋_GB2312" w:cs="仿宋_GB2312"/>
          <w:b w:val="0"/>
          <w:bCs w:val="0"/>
          <w:sz w:val="32"/>
          <w:szCs w:val="32"/>
        </w:rPr>
        <w:t>室</w:t>
      </w:r>
      <w:r>
        <w:rPr>
          <w:rFonts w:hint="eastAsia" w:ascii="仿宋_GB2312" w:hAnsi="仿宋_GB2312" w:eastAsia="仿宋_GB2312" w:cs="仿宋_GB2312"/>
          <w:b w:val="0"/>
          <w:bCs w:val="0"/>
          <w:sz w:val="32"/>
          <w:szCs w:val="32"/>
          <w:lang w:val="zh-CN"/>
        </w:rPr>
        <w:t>综合各单位绩效自评情况，形成项目分方向绩效评价报告。</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宋体"/>
          <w:b w:val="0"/>
          <w:bCs w:val="0"/>
          <w:sz w:val="32"/>
          <w:szCs w:val="32"/>
          <w:lang w:val="zh-CN"/>
        </w:rPr>
      </w:pPr>
      <w:r>
        <w:rPr>
          <w:rFonts w:hint="eastAsia" w:ascii="楷体_GB2312" w:hAnsi="宋体" w:eastAsia="楷体_GB2312"/>
          <w:b w:val="0"/>
          <w:bCs w:val="0"/>
          <w:sz w:val="32"/>
          <w:szCs w:val="32"/>
          <w:lang w:val="zh-CN"/>
        </w:rPr>
        <w:t xml:space="preserve">    （</w:t>
      </w:r>
      <w:r>
        <w:rPr>
          <w:rFonts w:hint="eastAsia" w:ascii="楷体_GB2312" w:hAnsi="宋体" w:eastAsia="楷体_GB2312"/>
          <w:b w:val="0"/>
          <w:bCs w:val="0"/>
          <w:sz w:val="32"/>
          <w:szCs w:val="32"/>
        </w:rPr>
        <w:t>二</w:t>
      </w:r>
      <w:r>
        <w:rPr>
          <w:rFonts w:hint="eastAsia" w:ascii="楷体_GB2312" w:hAnsi="宋体" w:eastAsia="楷体_GB2312"/>
          <w:b w:val="0"/>
          <w:bCs w:val="0"/>
          <w:sz w:val="32"/>
          <w:szCs w:val="32"/>
          <w:lang w:val="zh-CN"/>
        </w:rPr>
        <w:t>）项目管理情况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各项目单位严格按照财政厅关于财政专项资金管理有关规定、《省级供销综合改革及发展专项资金管理办法》和项目支出绩效评价有关要求，落实政府采购、项目公示、财务会计等制度规定，做到项目实施单位符合有关条件，项目流程、会计核算规范，项目绩效评价客观公正。</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楷体_GB2312" w:hAnsi="宋体" w:eastAsia="楷体_GB2312"/>
          <w:b w:val="0"/>
          <w:bCs w:val="0"/>
          <w:sz w:val="32"/>
          <w:szCs w:val="32"/>
          <w:lang w:val="zh-CN"/>
        </w:rPr>
      </w:pPr>
      <w:r>
        <w:rPr>
          <w:rFonts w:hint="eastAsia" w:ascii="楷体_GB2312" w:hAnsi="宋体" w:eastAsia="楷体_GB2312"/>
          <w:b w:val="0"/>
          <w:bCs w:val="0"/>
          <w:sz w:val="32"/>
          <w:szCs w:val="32"/>
          <w:lang w:val="zh-CN"/>
        </w:rPr>
        <w:t xml:space="preserve">    （</w:t>
      </w:r>
      <w:r>
        <w:rPr>
          <w:rFonts w:hint="eastAsia" w:ascii="楷体_GB2312" w:hAnsi="宋体" w:eastAsia="楷体_GB2312"/>
          <w:b w:val="0"/>
          <w:bCs w:val="0"/>
          <w:sz w:val="32"/>
          <w:szCs w:val="32"/>
        </w:rPr>
        <w:t>三</w:t>
      </w:r>
      <w:r>
        <w:rPr>
          <w:rFonts w:hint="eastAsia" w:ascii="楷体_GB2312" w:hAnsi="宋体" w:eastAsia="楷体_GB2312"/>
          <w:b w:val="0"/>
          <w:bCs w:val="0"/>
          <w:sz w:val="32"/>
          <w:szCs w:val="32"/>
          <w:lang w:val="zh-CN"/>
        </w:rPr>
        <w:t>）项目监管情况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项目实施全程接受财政、审计监督，认真落实专项审计整改反馈问题，市级社加强对项目工作的指导督促，县级社充分发挥监事会监督职能作用，确保项目规范实施。</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ascii="仿宋_GB2312" w:hAnsi="宋体"/>
          <w:b w:val="0"/>
          <w:bCs w:val="0"/>
          <w:sz w:val="32"/>
          <w:szCs w:val="32"/>
          <w:lang w:val="zh-CN"/>
        </w:rPr>
      </w:pPr>
      <w:r>
        <w:rPr>
          <w:rFonts w:hint="eastAsia" w:ascii="黑体" w:hAnsi="宋体" w:eastAsia="黑体"/>
          <w:b w:val="0"/>
          <w:bCs w:val="0"/>
          <w:sz w:val="32"/>
          <w:szCs w:val="32"/>
        </w:rPr>
        <w:t>四、项目绩效情况</w:t>
      </w:r>
      <w:r>
        <w:rPr>
          <w:rFonts w:hint="eastAsia" w:ascii="仿宋_GB2312" w:hAnsi="宋体"/>
          <w:b w:val="0"/>
          <w:bCs w:val="0"/>
          <w:sz w:val="32"/>
          <w:szCs w:val="32"/>
          <w:lang w:val="zh-CN"/>
        </w:rPr>
        <w:tab/>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ascii="楷体_GB2312" w:hAnsi="宋体" w:eastAsia="楷体_GB2312"/>
          <w:b w:val="0"/>
          <w:bCs w:val="0"/>
          <w:sz w:val="32"/>
          <w:szCs w:val="32"/>
          <w:lang w:val="zh-CN"/>
        </w:rPr>
      </w:pPr>
      <w:r>
        <w:rPr>
          <w:rFonts w:hint="eastAsia" w:ascii="楷体_GB2312" w:hAnsi="宋体" w:eastAsia="楷体_GB2312"/>
          <w:b w:val="0"/>
          <w:bCs w:val="0"/>
          <w:sz w:val="32"/>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因2020年省级综改专项资金下达时间比较分散，项目完成情况也不统一。产业扶贫3000万元和应急资金415万元下达时间为8月底，化肥和棉花储备贴息资金500万元下达时间为10月底，全省供销系统综合改革和“三社融合”转移支付资金4681万元下达时间为12月</w:t>
      </w:r>
      <w:r>
        <w:rPr>
          <w:rFonts w:hint="eastAsia" w:ascii="仿宋_GB2312" w:hAnsi="仿宋_GB2312" w:eastAsia="仿宋_GB2312" w:cs="仿宋_GB2312"/>
          <w:b w:val="0"/>
          <w:bCs w:val="0"/>
          <w:sz w:val="32"/>
          <w:szCs w:val="32"/>
          <w:lang w:val="zh-CN"/>
        </w:rPr>
        <w:t>。</w:t>
      </w:r>
      <w:r>
        <w:rPr>
          <w:rFonts w:hint="eastAsia" w:ascii="仿宋_GB2312" w:hAnsi="仿宋_GB2312" w:eastAsia="仿宋_GB2312" w:cs="仿宋_GB2312"/>
          <w:b w:val="0"/>
          <w:bCs w:val="0"/>
          <w:sz w:val="32"/>
          <w:szCs w:val="32"/>
        </w:rPr>
        <w:t>相应的项目实施进度较为滞后。</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ascii="楷体_GB2312" w:hAnsi="宋体" w:eastAsia="楷体_GB2312"/>
          <w:b w:val="0"/>
          <w:bCs w:val="0"/>
          <w:sz w:val="32"/>
          <w:szCs w:val="32"/>
          <w:lang w:val="zh-CN"/>
        </w:rPr>
      </w:pPr>
      <w:r>
        <w:rPr>
          <w:rFonts w:hint="eastAsia" w:ascii="楷体_GB2312" w:hAnsi="宋体" w:eastAsia="楷体_GB2312"/>
          <w:b w:val="0"/>
          <w:bCs w:val="0"/>
          <w:sz w:val="32"/>
          <w:szCs w:val="32"/>
          <w:lang w:val="zh-CN"/>
        </w:rPr>
        <w:t>（二）项目效益情况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1.产业扶贫项目</w:t>
      </w:r>
      <w:r>
        <w:rPr>
          <w:rFonts w:hint="eastAsia" w:ascii="仿宋_GB2312" w:hAnsi="仿宋_GB2312" w:eastAsia="仿宋_GB2312" w:cs="仿宋_GB2312"/>
          <w:b w:val="0"/>
          <w:bCs w:val="0"/>
          <w:sz w:val="32"/>
          <w:szCs w:val="32"/>
          <w:lang w:val="zh-CN"/>
        </w:rPr>
        <w:t>效益</w:t>
      </w:r>
      <w:r>
        <w:rPr>
          <w:rFonts w:hint="eastAsia" w:ascii="仿宋_GB2312" w:hAnsi="仿宋_GB2312" w:eastAsia="仿宋_GB2312" w:cs="仿宋_GB2312"/>
          <w:b w:val="0"/>
          <w:bCs w:val="0"/>
          <w:sz w:val="32"/>
          <w:szCs w:val="32"/>
        </w:rPr>
        <w:t>情况：</w:t>
      </w:r>
      <w:r>
        <w:rPr>
          <w:rFonts w:ascii="仿宋_GB2312" w:hAnsi="仿宋_GB2312" w:eastAsia="仿宋_GB2312" w:cs="仿宋_GB2312"/>
          <w:b w:val="0"/>
          <w:bCs w:val="0"/>
          <w:sz w:val="32"/>
          <w:szCs w:val="32"/>
        </w:rPr>
        <w:t>建成了县级供销为农服务中心（含电商体验中心）2个</w:t>
      </w:r>
      <w:r>
        <w:rPr>
          <w:rFonts w:hint="eastAsia" w:ascii="仿宋_GB2312" w:hAnsi="仿宋_GB2312" w:eastAsia="仿宋_GB2312" w:cs="仿宋_GB2312"/>
          <w:b w:val="0"/>
          <w:bCs w:val="0"/>
          <w:sz w:val="32"/>
          <w:szCs w:val="32"/>
        </w:rPr>
        <w:t>。</w:t>
      </w:r>
      <w:r>
        <w:rPr>
          <w:rFonts w:ascii="仿宋_GB2312" w:hAnsi="仿宋_GB2312" w:eastAsia="仿宋_GB2312" w:cs="仿宋_GB2312"/>
          <w:b w:val="0"/>
          <w:bCs w:val="0"/>
          <w:sz w:val="32"/>
          <w:szCs w:val="32"/>
        </w:rPr>
        <w:t>“三州一市”深度贫困地区的乡镇、中心村</w:t>
      </w:r>
      <w:r>
        <w:rPr>
          <w:rFonts w:hint="eastAsia" w:ascii="仿宋_GB2312" w:hAnsi="仿宋_GB2312" w:eastAsia="仿宋_GB2312" w:cs="仿宋_GB2312"/>
          <w:b w:val="0"/>
          <w:bCs w:val="0"/>
          <w:sz w:val="32"/>
          <w:szCs w:val="32"/>
        </w:rPr>
        <w:t>建设</w:t>
      </w:r>
      <w:r>
        <w:rPr>
          <w:rFonts w:ascii="仿宋_GB2312" w:hAnsi="仿宋_GB2312" w:eastAsia="仿宋_GB2312" w:cs="仿宋_GB2312"/>
          <w:b w:val="0"/>
          <w:bCs w:val="0"/>
          <w:sz w:val="32"/>
          <w:szCs w:val="32"/>
        </w:rPr>
        <w:t>基层社经营服务网点</w:t>
      </w:r>
      <w:r>
        <w:rPr>
          <w:rFonts w:hint="eastAsia" w:ascii="仿宋_GB2312" w:hAnsi="仿宋_GB2312" w:eastAsia="仿宋_GB2312" w:cs="仿宋_GB2312"/>
          <w:b w:val="0"/>
          <w:bCs w:val="0"/>
          <w:sz w:val="32"/>
          <w:szCs w:val="32"/>
        </w:rPr>
        <w:t>，</w:t>
      </w:r>
      <w:r>
        <w:rPr>
          <w:rFonts w:ascii="仿宋_GB2312" w:hAnsi="仿宋_GB2312" w:eastAsia="仿宋_GB2312" w:cs="仿宋_GB2312"/>
          <w:b w:val="0"/>
          <w:bCs w:val="0"/>
          <w:sz w:val="32"/>
          <w:szCs w:val="32"/>
        </w:rPr>
        <w:t>推动供销社经营服务网络向贫困村延伸，为深度贫困地区产业发展、农民生产生活提供便捷安全、优质高效的综合服务，帮助深度贫困地区发展产业和销售优质农特产品，</w:t>
      </w:r>
      <w:r>
        <w:rPr>
          <w:rFonts w:hint="eastAsia" w:ascii="仿宋_GB2312" w:hAnsi="仿宋_GB2312" w:eastAsia="仿宋_GB2312" w:cs="仿宋_GB2312"/>
          <w:b w:val="0"/>
          <w:bCs w:val="0"/>
          <w:sz w:val="32"/>
          <w:szCs w:val="32"/>
        </w:rPr>
        <w:t>提高了为农服务能力，</w:t>
      </w:r>
      <w:r>
        <w:rPr>
          <w:rFonts w:ascii="仿宋_GB2312" w:hAnsi="仿宋_GB2312" w:eastAsia="仿宋_GB2312" w:cs="仿宋_GB2312"/>
          <w:b w:val="0"/>
          <w:bCs w:val="0"/>
          <w:sz w:val="32"/>
          <w:szCs w:val="32"/>
        </w:rPr>
        <w:t>展现了区域供销合作特色亮点。</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2.“三社融合”项目</w:t>
      </w:r>
      <w:r>
        <w:rPr>
          <w:rFonts w:hint="eastAsia" w:ascii="仿宋_GB2312" w:hAnsi="仿宋_GB2312" w:eastAsia="仿宋_GB2312" w:cs="仿宋_GB2312"/>
          <w:b w:val="0"/>
          <w:bCs w:val="0"/>
          <w:sz w:val="32"/>
          <w:szCs w:val="32"/>
          <w:lang w:val="zh-CN"/>
        </w:rPr>
        <w:t>效益</w:t>
      </w:r>
      <w:r>
        <w:rPr>
          <w:rFonts w:hint="eastAsia" w:ascii="仿宋_GB2312" w:hAnsi="仿宋_GB2312" w:eastAsia="仿宋_GB2312" w:cs="仿宋_GB2312"/>
          <w:b w:val="0"/>
          <w:bCs w:val="0"/>
          <w:sz w:val="32"/>
          <w:szCs w:val="32"/>
        </w:rPr>
        <w:t>情况：初步形成了“农民得实惠、村集体得效益、供销社得发展”的“三赢”格局。试点中“三社”融合以股权为纽带，农户与合作社利益共享、风险共担。通过建立供销合作社、村集体经济与农户、农民专业合作社的利益联结机制，促进农村产业发展、壮大集体经济，实现农民增收、产业增效、生态增值。农村基层组织凝聚力、号召力不断增强，党的形象和威信进一步巩固提高,干群关系、党群关系进一步和谐融洽。</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3.化肥棉花储备贴息项目</w:t>
      </w:r>
      <w:r>
        <w:rPr>
          <w:rFonts w:hint="eastAsia" w:ascii="仿宋_GB2312" w:hAnsi="仿宋_GB2312" w:eastAsia="仿宋_GB2312" w:cs="仿宋_GB2312"/>
          <w:b w:val="0"/>
          <w:bCs w:val="0"/>
          <w:sz w:val="32"/>
          <w:szCs w:val="32"/>
          <w:lang w:val="zh-CN"/>
        </w:rPr>
        <w:t>效益</w:t>
      </w:r>
      <w:r>
        <w:rPr>
          <w:rFonts w:hint="eastAsia" w:ascii="仿宋_GB2312" w:hAnsi="仿宋_GB2312" w:eastAsia="仿宋_GB2312" w:cs="仿宋_GB2312"/>
          <w:b w:val="0"/>
          <w:bCs w:val="0"/>
          <w:sz w:val="32"/>
          <w:szCs w:val="32"/>
        </w:rPr>
        <w:t>情况：对平抑价格、稳定市场起到了一定作用。通过建立和完善价格内控机制、依托连锁配送经营网络减少流通环节、降低损耗等措施减少流通成本，提供物美价廉的化肥、棉花商品，起到了平抑相关商品市场价格的作用；对满足救灾扶贫等应急需要起到了一定的作用。棉花化肥储备政策不仅调动了农民的种粮积极性，而且还密切了党群关系、干群关系，把党中央扶持“三农”、促农增收政策落实到了实处，其意义深远。</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4.应急救灾项目</w:t>
      </w:r>
      <w:r>
        <w:rPr>
          <w:rFonts w:hint="eastAsia" w:ascii="仿宋_GB2312" w:hAnsi="仿宋_GB2312" w:eastAsia="仿宋_GB2312" w:cs="仿宋_GB2312"/>
          <w:b w:val="0"/>
          <w:bCs w:val="0"/>
          <w:sz w:val="32"/>
          <w:szCs w:val="32"/>
          <w:lang w:val="zh-CN"/>
        </w:rPr>
        <w:t>效益</w:t>
      </w:r>
      <w:r>
        <w:rPr>
          <w:rFonts w:hint="eastAsia" w:ascii="仿宋_GB2312" w:hAnsi="仿宋_GB2312" w:eastAsia="仿宋_GB2312" w:cs="仿宋_GB2312"/>
          <w:b w:val="0"/>
          <w:bCs w:val="0"/>
          <w:sz w:val="32"/>
          <w:szCs w:val="32"/>
        </w:rPr>
        <w:t>情况：通过防汛物资的采购，提升了供销系统各基层社、直属学校的抗洪能力，减少了基层单位的洪灾损失，提高了应对洪灾的能力，保护了人民生命财产安全。</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对下转移支付用于支持系统综合改革资金项目绩效情况：自贡、广元和巴中3个市完成了2020年省级综改专项资金的使用及绩效自评，对已实施项目进行了评价。一是自贡市用于现代流通体系建设项目90万元和管理咨询服务建设项目10万元。二是广元市用于基层社标杆社、农民专合社示范社建设项目120万元、现代流通体系建设162万元、农事（土地）托管63万元、管理咨询服务20万元。三是巴中市用于基层社标杆社、农民专合社示范社建设项目50万元、现代流通体系建设40万元、农事（土地）托管25万元、管理咨询服务20万元、三社融合试点100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基层供销组织建设及改造提升工程，有力提升了为农服务的能力和水平，为地方经济发展提供了可持续性和长期增收增效的保障；现代流通体系建设项目建成后，能更好地销售及推广本地区农副产品，进一步带动了本地区经济发展，助农增收成效明显；农事（土地）托管服务项目，有效解决了农村缺乏生产技术、劳动力、成本高、土地撂荒等难题，实现土地规模化、集约化种植，夯实了供销社服务三农基础；管理咨询服务项目的建设，促进了现代服务业进农村，为农村经济组织和地方政府部门提供了多元化服务，向农业新型经营主体等提供以会计服务为基础的系列现代管理咨询服务，通过实施“互联网+”服务，推广线上技术统一、线下业务规范的融合发展新模式，开拓了供销社为农服务新领域。</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黑体" w:hAnsi="宋体" w:eastAsia="黑体"/>
          <w:b w:val="0"/>
          <w:bCs w:val="0"/>
          <w:sz w:val="32"/>
          <w:szCs w:val="32"/>
        </w:rPr>
      </w:pPr>
      <w:r>
        <w:rPr>
          <w:rFonts w:hint="eastAsia" w:ascii="仿宋_GB2312" w:hAnsi="宋体"/>
          <w:b w:val="0"/>
          <w:bCs w:val="0"/>
          <w:sz w:val="32"/>
          <w:szCs w:val="32"/>
        </w:rPr>
        <w:t xml:space="preserve">    </w:t>
      </w:r>
      <w:r>
        <w:rPr>
          <w:rFonts w:hint="eastAsia" w:ascii="黑体" w:hAnsi="宋体" w:eastAsia="黑体"/>
          <w:b w:val="0"/>
          <w:bCs w:val="0"/>
          <w:sz w:val="32"/>
          <w:szCs w:val="32"/>
        </w:rPr>
        <w:t>五、评价结论及建议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楷体_GB2312" w:hAnsi="宋体" w:eastAsia="楷体_GB2312"/>
          <w:b w:val="0"/>
          <w:bCs w:val="0"/>
          <w:sz w:val="32"/>
          <w:szCs w:val="32"/>
          <w:lang w:val="zh-CN"/>
        </w:rPr>
      </w:pPr>
      <w:r>
        <w:rPr>
          <w:rFonts w:hint="eastAsia" w:ascii="楷体_GB2312" w:hAnsi="宋体" w:eastAsia="楷体_GB2312"/>
          <w:b w:val="0"/>
          <w:bCs w:val="0"/>
          <w:sz w:val="32"/>
          <w:szCs w:val="32"/>
          <w:lang w:val="zh-CN"/>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给予</w:t>
      </w:r>
      <w:r>
        <w:rPr>
          <w:rFonts w:hint="eastAsia" w:ascii="仿宋_GB2312" w:hAnsi="仿宋_GB2312" w:eastAsia="仿宋_GB2312" w:cs="仿宋_GB2312"/>
          <w:b w:val="0"/>
          <w:bCs w:val="0"/>
          <w:sz w:val="32"/>
          <w:szCs w:val="32"/>
        </w:rPr>
        <w:t>全省供销系统</w:t>
      </w:r>
      <w:r>
        <w:rPr>
          <w:rFonts w:hint="eastAsia" w:ascii="仿宋_GB2312" w:hAnsi="仿宋_GB2312" w:eastAsia="仿宋_GB2312" w:cs="仿宋_GB2312"/>
          <w:b w:val="0"/>
          <w:bCs w:val="0"/>
          <w:sz w:val="32"/>
          <w:szCs w:val="32"/>
          <w:lang w:val="zh-CN"/>
        </w:rPr>
        <w:t>财政专项资金扶持，是深入贯彻落实习近平总书记对供销合作社工作重要指示精神的政治担当，是贯彻落实中央关于深化供销合作社综合改革部署要求、推进供销合作社培育壮大工程，积极融入脱贫攻坚、全面助力乡村振兴的务实举措。有利于促进</w:t>
      </w:r>
      <w:r>
        <w:rPr>
          <w:rFonts w:hint="eastAsia" w:ascii="仿宋_GB2312" w:hAnsi="仿宋_GB2312" w:eastAsia="仿宋_GB2312" w:cs="仿宋_GB2312"/>
          <w:b w:val="0"/>
          <w:bCs w:val="0"/>
          <w:sz w:val="32"/>
          <w:szCs w:val="32"/>
        </w:rPr>
        <w:t>基层</w:t>
      </w:r>
      <w:r>
        <w:rPr>
          <w:rFonts w:hint="eastAsia" w:ascii="仿宋_GB2312" w:hAnsi="仿宋_GB2312" w:eastAsia="仿宋_GB2312" w:cs="仿宋_GB2312"/>
          <w:b w:val="0"/>
          <w:bCs w:val="0"/>
          <w:sz w:val="32"/>
          <w:szCs w:val="32"/>
          <w:lang w:val="zh-CN"/>
        </w:rPr>
        <w:t>供销社改革发展、巩固党的执政基础，有利于深度贫困地区脱贫奔康、实现乡村振兴，有利于夯实供销合作社发展基层基础，有利于密切供销合作社与农民的利益联结，有利于提升供销合作社带动新型农业经营主体、农村集体经济发展的能力水平，对于供销合作社系统深化综合改革、践行根本宗旨、助力乡村振兴中担当更大责任、发挥更大作用，具有十分重要的促进作用。</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ascii="楷体_GB2312" w:hAnsi="宋体" w:eastAsia="楷体_GB2312"/>
          <w:b w:val="0"/>
          <w:bCs w:val="0"/>
          <w:sz w:val="32"/>
          <w:szCs w:val="32"/>
          <w:lang w:val="zh-CN"/>
        </w:rPr>
      </w:pPr>
      <w:r>
        <w:rPr>
          <w:rFonts w:hint="eastAsia" w:ascii="楷体_GB2312" w:hAnsi="宋体" w:eastAsia="楷体_GB2312"/>
          <w:b w:val="0"/>
          <w:bCs w:val="0"/>
          <w:sz w:val="32"/>
          <w:szCs w:val="32"/>
          <w:lang w:val="zh-CN"/>
        </w:rPr>
        <w:t>（二）存在的问题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rPr>
        <w:t>一是</w:t>
      </w:r>
      <w:r>
        <w:rPr>
          <w:rFonts w:hint="eastAsia" w:ascii="仿宋_GB2312" w:hAnsi="仿宋_GB2312" w:eastAsia="仿宋_GB2312" w:cs="仿宋_GB2312"/>
          <w:b w:val="0"/>
          <w:bCs w:val="0"/>
          <w:sz w:val="32"/>
          <w:szCs w:val="32"/>
          <w:lang w:val="zh-CN"/>
        </w:rPr>
        <w:t>基层组织建设量大面广，政策供需矛盾突出，现有扶持资金规模较小，分配相对分散；部分基层组织发展基础薄弱，需要建立持续扶持机制；个别项目由于土地、规划等原因还未全部完成。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rPr>
        <w:t>二是</w:t>
      </w:r>
      <w:r>
        <w:rPr>
          <w:rFonts w:hint="eastAsia" w:ascii="仿宋_GB2312" w:hAnsi="仿宋_GB2312" w:eastAsia="仿宋_GB2312" w:cs="仿宋_GB2312"/>
          <w:b w:val="0"/>
          <w:bCs w:val="0"/>
          <w:sz w:val="32"/>
          <w:szCs w:val="32"/>
          <w:lang w:val="zh-CN"/>
        </w:rPr>
        <w:t>原</w:t>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zh-CN"/>
        </w:rPr>
        <w:t>5个深度贫困县位于民族地区，受供销社治理机构不健全，社有企业弱小，人员力量缺乏，基层基础薄弱；再加上地理环境复杂，建设施工周期短等因素影响，部分供销产业扶贫项目建设进度偏慢。</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三是疫情对项目推进影响大。受近两年新冠肺炎影响，多数已动工实施的项目还未完全复工建设，造成项目建设进度滞后，预计部分项目无法按照实施方案拟定的建设期限完成并验收；同时，已竣工项目验收时间推迟，导致资金拨付进度推迟。</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楷体_GB2312" w:hAnsi="宋体" w:eastAsia="楷体_GB2312"/>
          <w:b w:val="0"/>
          <w:bCs w:val="0"/>
          <w:sz w:val="32"/>
          <w:szCs w:val="32"/>
          <w:lang w:val="zh-CN"/>
        </w:rPr>
      </w:pPr>
      <w:r>
        <w:rPr>
          <w:rFonts w:hint="eastAsia" w:ascii="楷体_GB2312" w:hAnsi="宋体" w:eastAsia="楷体_GB2312"/>
          <w:b w:val="0"/>
          <w:bCs w:val="0"/>
          <w:sz w:val="32"/>
          <w:szCs w:val="32"/>
          <w:lang w:val="zh-CN"/>
        </w:rPr>
        <w:t xml:space="preserve">    （</w:t>
      </w:r>
      <w:r>
        <w:rPr>
          <w:rFonts w:hint="eastAsia" w:ascii="楷体_GB2312" w:hAnsi="宋体" w:eastAsia="楷体_GB2312"/>
          <w:b w:val="0"/>
          <w:bCs w:val="0"/>
          <w:sz w:val="32"/>
          <w:szCs w:val="32"/>
        </w:rPr>
        <w:t>三</w:t>
      </w:r>
      <w:r>
        <w:rPr>
          <w:rFonts w:hint="eastAsia" w:ascii="楷体_GB2312" w:hAnsi="宋体" w:eastAsia="楷体_GB2312"/>
          <w:b w:val="0"/>
          <w:bCs w:val="0"/>
          <w:sz w:val="32"/>
          <w:szCs w:val="32"/>
          <w:lang w:val="zh-CN"/>
        </w:rPr>
        <w:t>）相关建议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是加大资金扶持力度。中央和省委、省政府赋予供销系统改革任务繁重，目前的省级综改专项资金量小，不能满足系统改革需要，建议加大省级专项资金扶持力度。尤其是对基层组织建设的扶持力度，对发展质量好、服务带动力强的示范基层组织给予一定的财政奖补资金，激励供销合作社基层组织提质增效，充分发挥示范基层组织的引导带动作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是鼓励多种模式实施项目建设。针对各地供销社发展实力不同，灵活采取社有企业带动、开门办社吸纳新型农业经营主体和农民社员加入、“三社”融合等模式，承接和实施项目，鼓励以股权形式投入，建立财政资金发挥撬动作用的长效机制，同时推动市场化运作，优化资源配置，把供销合作社基层组织建成公益性与经营性相结合的为农服务平台。指导项目发挥作用、产生效应，积极开展农资供应、特色农产品展销、电商物流、土地托管、代理记账、农技培训等为农服务业务，打造为农服务综合平台，以供销产业项目引领脱贫地区供销社机构和经营服务体系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是加强项目工作指导帮带。针对县级社工作力量弱、缺乏专业人才等实际，加强基层联系指导帮带，指导督促县级社加强政策理论学习，加大重点经营服务的攻关力度，科学提出政策资金需求，精心规划设计项目，健全并严格落实项目管理制度规定，加强项目建设运营管理，健全项目管理制度规定，确保项目工作优质、高效。</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黑体" w:cs="仿宋_GB2312"/>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简体" w:hAnsi="宋体" w:eastAsia="方正小标宋简体"/>
          <w:color w:val="FF0000"/>
          <w:sz w:val="44"/>
          <w:szCs w:val="4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方正小标宋简体" w:hAnsi="宋体" w:eastAsia="方正小标宋简体"/>
          <w:color w:val="auto"/>
          <w:sz w:val="44"/>
          <w:szCs w:val="44"/>
          <w:highlight w:val="none"/>
        </w:rPr>
      </w:pPr>
      <w:r>
        <w:rPr>
          <w:rFonts w:hint="eastAsia" w:ascii="方正小标宋简体" w:hAnsi="宋体" w:eastAsia="方正小标宋简体"/>
          <w:color w:val="auto"/>
          <w:sz w:val="44"/>
          <w:szCs w:val="44"/>
          <w:highlight w:val="none"/>
          <w:lang w:val="en-US" w:eastAsia="zh-CN"/>
        </w:rPr>
        <w:t>2020年部门预算项目支出绩效自评报告</w:t>
      </w:r>
    </w:p>
    <w:p>
      <w:pPr>
        <w:keepNext w:val="0"/>
        <w:keepLines w:val="0"/>
        <w:pageBreakBefore w:val="0"/>
        <w:widowControl w:val="0"/>
        <w:tabs>
          <w:tab w:val="left" w:pos="3885"/>
        </w:tabs>
        <w:kinsoku/>
        <w:wordWrap/>
        <w:overflowPunct/>
        <w:topLinePunct w:val="0"/>
        <w:autoSpaceDE/>
        <w:autoSpaceDN/>
        <w:bidi w:val="0"/>
        <w:adjustRightInd w:val="0"/>
        <w:snapToGrid w:val="0"/>
        <w:spacing w:line="560" w:lineRule="exact"/>
        <w:jc w:val="center"/>
        <w:textAlignment w:val="auto"/>
        <w:outlineLvl w:val="9"/>
        <w:rPr>
          <w:rFonts w:hint="eastAsia" w:hAnsi="宋体" w:eastAsia="仿宋_GB2312"/>
          <w:color w:val="auto"/>
          <w:sz w:val="32"/>
          <w:szCs w:val="32"/>
          <w:highlight w:val="none"/>
        </w:rPr>
      </w:pPr>
      <w:r>
        <w:rPr>
          <w:rFonts w:hint="eastAsia" w:hAnsi="宋体" w:eastAsia="仿宋_GB2312"/>
          <w:color w:val="auto"/>
          <w:sz w:val="32"/>
          <w:szCs w:val="32"/>
          <w:highlight w:val="none"/>
        </w:rPr>
        <w:t>（省级棉花储备贴息项目）</w:t>
      </w:r>
    </w:p>
    <w:p>
      <w:pPr>
        <w:keepNext w:val="0"/>
        <w:keepLines w:val="0"/>
        <w:pageBreakBefore w:val="0"/>
        <w:widowControl w:val="0"/>
        <w:tabs>
          <w:tab w:val="left" w:pos="3885"/>
        </w:tabs>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仿宋_GB2312" w:hAnsi="仿宋_GB2312" w:eastAsia="仿宋_GB2312" w:cs="仿宋_GB2312"/>
          <w:b/>
          <w:sz w:val="32"/>
          <w:szCs w:val="32"/>
          <w:lang w:val="en-US" w:eastAsia="zh-CN"/>
        </w:rPr>
      </w:pPr>
    </w:p>
    <w:p>
      <w:pPr>
        <w:pStyle w:val="2"/>
        <w:rPr>
          <w:rFonts w:hint="default"/>
          <w:lang w:val="en-US" w:eastAsia="zh-CN"/>
        </w:rPr>
      </w:pPr>
      <w:r>
        <w:rPr>
          <w:rFonts w:hint="eastAsia" w:hAnsi="仿宋_GB2312" w:cs="仿宋_GB2312"/>
          <w:b/>
          <w:sz w:val="32"/>
          <w:szCs w:val="32"/>
          <w:lang w:val="en-US" w:eastAsia="zh-CN"/>
        </w:rPr>
        <w:t xml:space="preserve">   </w:t>
      </w:r>
      <w:r>
        <w:rPr>
          <w:rFonts w:hint="eastAsia" w:hAnsi="仿宋_GB2312" w:cs="仿宋_GB2312"/>
          <w:b w:val="0"/>
          <w:bCs/>
          <w:sz w:val="32"/>
          <w:szCs w:val="32"/>
          <w:lang w:val="en-US" w:eastAsia="zh-CN"/>
        </w:rPr>
        <w:t xml:space="preserve"> 根据绩效评价工作的相关要求，我社对省级棉花储备项目进行了绩效自评，现将情况报告如下：</w:t>
      </w:r>
    </w:p>
    <w:p>
      <w:pPr>
        <w:keepNext w:val="0"/>
        <w:keepLines w:val="0"/>
        <w:pageBreakBefore w:val="0"/>
        <w:widowControl w:val="0"/>
        <w:tabs>
          <w:tab w:val="left" w:pos="3885"/>
        </w:tabs>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b/>
          <w:sz w:val="32"/>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基本情况</w:t>
      </w:r>
    </w:p>
    <w:p>
      <w:pPr>
        <w:keepNext w:val="0"/>
        <w:keepLines w:val="0"/>
        <w:pageBreakBefore w:val="0"/>
        <w:widowControl w:val="0"/>
        <w:tabs>
          <w:tab w:val="left" w:pos="3885"/>
        </w:tabs>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sz w:val="32"/>
          <w:szCs w:val="32"/>
        </w:rPr>
      </w:pPr>
      <w:r>
        <w:rPr>
          <w:rFonts w:hint="eastAsia" w:ascii="方正楷体_GBK" w:hAnsi="方正楷体_GBK" w:eastAsia="方正楷体_GBK" w:cs="方正楷体_GBK"/>
          <w:b/>
          <w:sz w:val="32"/>
          <w:szCs w:val="32"/>
        </w:rPr>
        <w:t>（一）项目概况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2000年以来，我省纺织工业通过改制重组、技术改造、招商引资和承接东部纺织产业转移，得到了长足发展，社会纱锭规模达300多万锭，棉花原料需求逐年扩大。但2001年棉花市场全面放开后，受气候条件、种植成本、粮棉比较优势、市场价格波动及农村种植结构调整等因素影响，四川地区棉花种植面积、产量持续大幅下降，纺织、民用以及救灾等棉花基本上依赖外购。受棉花出疆运力紧张、棉花上市时间集中等因素影响，长期存在季节性供需矛盾，导致川内棉价高于全国平均水平，省内市场波动频繁，严重削弱了我省纺织工业竞争力，不利于纺织产业发展。同时，我省自然灾害多发，救灾、扶贫等应急用棉需求量大，省内也没有国储棉库存，市场和应急调控能力严重不足。</w:t>
      </w:r>
    </w:p>
    <w:p>
      <w:pPr>
        <w:keepNext w:val="0"/>
        <w:keepLines w:val="0"/>
        <w:pageBreakBefore w:val="0"/>
        <w:widowControl w:val="0"/>
        <w:kinsoku/>
        <w:wordWrap/>
        <w:overflowPunct/>
        <w:topLinePunct w:val="0"/>
        <w:autoSpaceDE/>
        <w:autoSpaceDN/>
        <w:bidi w:val="0"/>
        <w:adjustRightInd w:val="0"/>
        <w:snapToGrid w:val="0"/>
        <w:spacing w:line="560" w:lineRule="exact"/>
        <w:ind w:firstLine="633" w:firstLineChars="198"/>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稳定省内棉花市场，促进纺织工业健康发展，增强抗震救灾等应急用棉能力，省财政从2005年起安排150万元专项资金用于棉花省级棉花储备贴息，补助四川省供销合作社联合社直属企业四川省棉麻集团有限公司用于棉花轮入、调运、储存、轮出所需贷款资金的利息支出，本年度实施周期为2020年7月1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2021年6月30日。</w:t>
      </w:r>
    </w:p>
    <w:p>
      <w:pPr>
        <w:keepNext w:val="0"/>
        <w:keepLines w:val="0"/>
        <w:pageBreakBefore w:val="0"/>
        <w:widowControl w:val="0"/>
        <w:tabs>
          <w:tab w:val="left" w:pos="3885"/>
        </w:tabs>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（二）项目实施情况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本项目承储企业为四川省棉麻集团有限公司。该</w:t>
      </w:r>
      <w:r>
        <w:rPr>
          <w:rFonts w:hint="eastAsia" w:ascii="仿宋_GB2312" w:hAnsi="仿宋_GB2312" w:eastAsia="仿宋_GB2312" w:cs="仿宋_GB2312"/>
          <w:sz w:val="32"/>
          <w:szCs w:val="32"/>
        </w:rPr>
        <w:t>司作为西南地区唯一的一家棉花大型收购、加工、流通企业，长期从事棉花调运工作，</w:t>
      </w:r>
      <w:r>
        <w:rPr>
          <w:rFonts w:hint="eastAsia" w:ascii="仿宋_GB2312" w:hAnsi="仿宋_GB2312" w:eastAsia="仿宋_GB2312" w:cs="仿宋_GB2312"/>
          <w:b w:val="0"/>
          <w:bCs w:val="0"/>
          <w:sz w:val="32"/>
          <w:szCs w:val="32"/>
        </w:rPr>
        <w:t>购销网络遍及全国，年经营量达6万吨以上，具备棉花储备能力，一是在新疆通过自建、合作等方式建有多个棉花资源基地，棉花资源网络健全，掌控的棉花质量较好，能充分满足省内纺织企业加工及应急需要；二是公司是省内棉花流通骨干企业，与省内绝大部分纺织企业建立了业务合作关系，棉花投放网络遍及全省，市场快速投放能力极强；三是棉花仓</w:t>
      </w:r>
      <w:r>
        <w:rPr>
          <w:rFonts w:hint="eastAsia" w:ascii="仿宋_GB2312" w:hAnsi="仿宋_GB2312" w:eastAsia="仿宋_GB2312" w:cs="仿宋_GB2312"/>
          <w:sz w:val="32"/>
          <w:szCs w:val="32"/>
        </w:rPr>
        <w:t>储物流基础设施完善，在德阳、龙泉、新疆等地控制数个物流基地，交通便捷，设施齐备，仓储能力达5万余吨，且为全国棉花交易市场指定交割监管库、国储棉承储库，仓库管理规范严格；四是在计划经济时期，公司长期承担棉花储备任务，有一支专业的棉花储备管理队伍，建立了完善的储备棉管理制度，并在2012、2013年承担了国家储备棉大单收储任务，储备经验丰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为保证顺利完成储备任务，四川省棉麻集团有限公司开展了以下几方面建设工作：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1.和西南棉花监测系统积极联系。</w:t>
      </w:r>
      <w:r>
        <w:rPr>
          <w:rFonts w:hint="eastAsia" w:ascii="仿宋_GB2312" w:hAnsi="仿宋_GB2312" w:eastAsia="仿宋_GB2312" w:cs="仿宋_GB2312"/>
          <w:sz w:val="32"/>
          <w:szCs w:val="32"/>
        </w:rPr>
        <w:t>公司积极联西南棉花监测系统，进行数据收集、信息分析、资源发布、意见反馈等。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完善储备物流基础设施。公司先后在龙泉、德阳、芦山等地建立了覆盖全省的棉花物流配送和应急调控网络，并在德阳建立了四川棉花储备调控中心，在新疆与北京交易市场监管的多个仓库保持常年稳定合作关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建立储备资源基地。2014年以来，公司先后在库尔勒、和田、乌苏、尉犁等棉花主产区建立了棉花资源基地，并在乌鲁木齐、库尔勒建立工作办事处，专门从事棉花调销，掌控调控资源达2万吨，满足全省需求，并为平抑棉价、应急供应提供了充足的资源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4.建立了棉花电子商务平台。公司联合业内知名的中储棉总公司、浙江特产、河南同舟在北京建</w:t>
      </w:r>
      <w:r>
        <w:rPr>
          <w:rFonts w:hint="eastAsia" w:ascii="仿宋_GB2312" w:hAnsi="仿宋_GB2312" w:eastAsia="仿宋_GB2312" w:cs="仿宋_GB2312"/>
          <w:sz w:val="32"/>
          <w:szCs w:val="32"/>
        </w:rPr>
        <w:t>立了“e棉仓电子商务平台”，是支撑纺织企业自主开展从线上到线下业务的公共信息平台，减少中间环节，降低成本，提高我省纺织工业竞争力。</w:t>
      </w:r>
    </w:p>
    <w:p>
      <w:pPr>
        <w:keepNext w:val="0"/>
        <w:keepLines w:val="0"/>
        <w:pageBreakBefore w:val="0"/>
        <w:widowControl w:val="0"/>
        <w:tabs>
          <w:tab w:val="left" w:pos="3885"/>
        </w:tabs>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sz w:val="32"/>
          <w:szCs w:val="32"/>
        </w:rPr>
      </w:pPr>
      <w:r>
        <w:rPr>
          <w:rFonts w:hint="eastAsia" w:ascii="方正楷体_GBK" w:hAnsi="方正楷体_GBK" w:eastAsia="方正楷体_GBK" w:cs="方正楷体_GBK"/>
          <w:b/>
          <w:sz w:val="32"/>
          <w:szCs w:val="32"/>
        </w:rPr>
        <w:t>（三）资金投入使用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部门预算安排150万元。根据《关于申请拨付2020年省级供销综合改革及发展专项资金用于补充化肥和棉花商业储备贴息补助的函》，省财政拨付500万元用于疫情期间的稳价保供，其中补助棉花储备贴息补助200万元。四川省棉麻集团有限公司已投入资金完成储备任务，省级棉花储备2019—2020年度财政补贴资金合计350万元也已到位。</w:t>
      </w:r>
    </w:p>
    <w:p>
      <w:pPr>
        <w:keepNext w:val="0"/>
        <w:keepLines w:val="0"/>
        <w:pageBreakBefore w:val="0"/>
        <w:widowControl w:val="0"/>
        <w:tabs>
          <w:tab w:val="left" w:pos="3885"/>
        </w:tabs>
        <w:kinsoku/>
        <w:wordWrap/>
        <w:overflowPunct/>
        <w:topLinePunct w:val="0"/>
        <w:autoSpaceDE/>
        <w:autoSpaceDN/>
        <w:bidi w:val="0"/>
        <w:adjustRightInd w:val="0"/>
        <w:snapToGrid w:val="0"/>
        <w:spacing w:line="560" w:lineRule="exact"/>
        <w:ind w:firstLine="643" w:firstLineChars="200"/>
        <w:jc w:val="left"/>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（四）项目绩效目标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我省纺织工业需求和应急用棉实际，棉花省级储备贴息项目目标是：通过在新疆等棉花主产区收购加工棉花，调运到川内，年经营滚动储备棉花3万吨，搭建集市场监测、信息收集、市场调控、应急供应等功能于一体</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储备平台，构建政府抓得住、用得上、强有力的棉花市场调控和应急保障网络，实现稳定棉花市场价格、促进纺织工业健康发展、满足抗震救灾应急需求等三大目标。</w:t>
      </w:r>
    </w:p>
    <w:p>
      <w:pPr>
        <w:keepNext w:val="0"/>
        <w:keepLines w:val="0"/>
        <w:pageBreakBefore w:val="0"/>
        <w:widowControl w:val="0"/>
        <w:tabs>
          <w:tab w:val="left" w:pos="3885"/>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二、评价工作开展情况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sz w:val="32"/>
          <w:szCs w:val="32"/>
        </w:rPr>
      </w:pPr>
      <w:r>
        <w:rPr>
          <w:rFonts w:hint="eastAsia" w:ascii="方正楷体_GBK" w:hAnsi="方正楷体_GBK" w:eastAsia="方正楷体_GBK" w:cs="方正楷体_GBK"/>
          <w:b/>
          <w:sz w:val="32"/>
          <w:szCs w:val="32"/>
        </w:rPr>
        <w:t>（一）评价组织情况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共选取5个实施节点开展现场评价：四川省棉麻集团有限公司、四川省德阳八六信箱、新疆西部汇通棉业有限公司、乌苏市康隆棉业有限公司、华芳集团有限公司。涵盖了储备主体、仓库、资源基地、受益群体等各个方面。</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sz w:val="32"/>
          <w:szCs w:val="32"/>
        </w:rPr>
      </w:pPr>
      <w:r>
        <w:rPr>
          <w:rFonts w:hint="eastAsia" w:ascii="方正楷体_GBK" w:hAnsi="方正楷体_GBK" w:eastAsia="方正楷体_GBK" w:cs="方正楷体_GBK"/>
          <w:b/>
          <w:sz w:val="32"/>
          <w:szCs w:val="32"/>
        </w:rPr>
        <w:t>（二）评价指标体系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相关文件要求，具体评价从三个指标进行，一级指标：项目决策、项目管理、项目完成、项目效果；二级指标：绩效目标、决策依据、资金分配、分配结果、资金到位、资金管理、财务管理、组织实施、完成数量、完成质量、完成时间、经济效益、功能实现、社会效益；三级指标：目标内容、预期效益、进度计划、目标需求、政策依据、实施规划、管理制度、决策程序、分配方式、分配过程、分配时效、项目审核、支持方向、资金集中、财政资金到位率、配套资金到位率、拨付进度、使用范围、支付依据、开支标准、财务制度、会计核算、项目调整、制度执行、项目规模、项目标准、项目时限、投入产出率、利税增长率、实现计划能力、受益群体满意度。</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（三）评价方法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相关文件要求，收集项目文件资料、细化评价指标及评价标准，深入到项目网点，实地查看内控资料、账务、社会单位满意度等情况，收集相关数据资料，通过汇总整理，定量和定性分析形成评价结论，经过修改后，形成自评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（四）评价标准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项目整体评价要求有充分的决策依据，明确的绩效目标，按时完成储备任务，合理分配资金，有配套的管理制度，有明显的社会效益和经济效益。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sz w:val="32"/>
          <w:szCs w:val="32"/>
        </w:rPr>
      </w:pPr>
      <w:r>
        <w:rPr>
          <w:rFonts w:hint="eastAsia" w:ascii="黑体" w:hAnsi="黑体" w:eastAsia="黑体" w:cs="黑体"/>
          <w:b w:val="0"/>
          <w:bCs/>
          <w:sz w:val="32"/>
          <w:szCs w:val="32"/>
        </w:rPr>
        <w:t>三、综合评价结论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体上看，该项目决策依据充分，绩效目标明确，项目完成较好，发挥了公益性职能，社会效益明显。存在的问题主要反映在储备能力还需进一步加强、资源控制规模还应提高等方面。该项目自评得分为99分，具体详见下表：</w:t>
      </w:r>
    </w:p>
    <w:tbl>
      <w:tblPr>
        <w:tblStyle w:val="14"/>
        <w:tblpPr w:leftFromText="180" w:rightFromText="180" w:vertAnchor="text" w:horzAnchor="page" w:tblpX="1897" w:tblpY="577"/>
        <w:tblOverlap w:val="never"/>
        <w:tblW w:w="8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1404"/>
        <w:gridCol w:w="1815"/>
        <w:gridCol w:w="865"/>
        <w:gridCol w:w="739"/>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27" w:type="dxa"/>
            <w:vAlign w:val="center"/>
          </w:tcPr>
          <w:p>
            <w:pPr>
              <w:widowControl/>
              <w:snapToGrid w:val="0"/>
              <w:spacing w:line="640" w:lineRule="exact"/>
              <w:jc w:val="center"/>
              <w:rPr>
                <w:rFonts w:eastAsia="宋体"/>
                <w:b/>
                <w:kern w:val="0"/>
                <w:sz w:val="24"/>
                <w:szCs w:val="24"/>
              </w:rPr>
            </w:pPr>
            <w:r>
              <w:rPr>
                <w:rFonts w:eastAsia="宋体"/>
                <w:b/>
                <w:kern w:val="0"/>
                <w:sz w:val="24"/>
                <w:szCs w:val="24"/>
              </w:rPr>
              <w:t>一级指标</w:t>
            </w:r>
          </w:p>
        </w:tc>
        <w:tc>
          <w:tcPr>
            <w:tcW w:w="1404" w:type="dxa"/>
            <w:vAlign w:val="center"/>
          </w:tcPr>
          <w:p>
            <w:pPr>
              <w:widowControl/>
              <w:snapToGrid w:val="0"/>
              <w:spacing w:line="640" w:lineRule="exact"/>
              <w:jc w:val="center"/>
              <w:rPr>
                <w:rFonts w:eastAsia="宋体"/>
                <w:b/>
                <w:bCs/>
                <w:kern w:val="0"/>
                <w:sz w:val="24"/>
                <w:szCs w:val="24"/>
              </w:rPr>
            </w:pPr>
            <w:r>
              <w:rPr>
                <w:rFonts w:eastAsia="宋体"/>
                <w:b/>
                <w:bCs/>
                <w:kern w:val="0"/>
                <w:sz w:val="24"/>
                <w:szCs w:val="24"/>
              </w:rPr>
              <w:t>二级指标</w:t>
            </w:r>
          </w:p>
        </w:tc>
        <w:tc>
          <w:tcPr>
            <w:tcW w:w="1815" w:type="dxa"/>
            <w:vAlign w:val="center"/>
          </w:tcPr>
          <w:p>
            <w:pPr>
              <w:widowControl/>
              <w:snapToGrid w:val="0"/>
              <w:spacing w:line="640" w:lineRule="exact"/>
              <w:jc w:val="center"/>
              <w:rPr>
                <w:rFonts w:eastAsia="宋体"/>
                <w:b/>
                <w:bCs/>
                <w:kern w:val="0"/>
                <w:sz w:val="24"/>
                <w:szCs w:val="24"/>
              </w:rPr>
            </w:pPr>
            <w:r>
              <w:rPr>
                <w:rFonts w:eastAsia="宋体"/>
                <w:b/>
                <w:bCs/>
                <w:kern w:val="0"/>
                <w:sz w:val="24"/>
                <w:szCs w:val="24"/>
              </w:rPr>
              <w:t>三级指标</w:t>
            </w:r>
          </w:p>
        </w:tc>
        <w:tc>
          <w:tcPr>
            <w:tcW w:w="865" w:type="dxa"/>
            <w:vAlign w:val="center"/>
          </w:tcPr>
          <w:p>
            <w:pPr>
              <w:widowControl/>
              <w:snapToGrid w:val="0"/>
              <w:spacing w:line="640" w:lineRule="exact"/>
              <w:jc w:val="center"/>
              <w:rPr>
                <w:rFonts w:eastAsia="宋体"/>
                <w:b/>
                <w:bCs/>
                <w:kern w:val="0"/>
                <w:sz w:val="24"/>
                <w:szCs w:val="24"/>
              </w:rPr>
            </w:pPr>
            <w:r>
              <w:rPr>
                <w:rFonts w:eastAsia="宋体"/>
                <w:b/>
                <w:bCs/>
                <w:kern w:val="0"/>
                <w:sz w:val="24"/>
                <w:szCs w:val="24"/>
              </w:rPr>
              <w:t>分值</w:t>
            </w:r>
          </w:p>
        </w:tc>
        <w:tc>
          <w:tcPr>
            <w:tcW w:w="739" w:type="dxa"/>
            <w:vAlign w:val="center"/>
          </w:tcPr>
          <w:p>
            <w:pPr>
              <w:widowControl/>
              <w:snapToGrid w:val="0"/>
              <w:spacing w:line="640" w:lineRule="exact"/>
              <w:jc w:val="center"/>
              <w:rPr>
                <w:rFonts w:eastAsia="宋体"/>
                <w:b/>
                <w:bCs/>
                <w:kern w:val="0"/>
                <w:sz w:val="24"/>
                <w:szCs w:val="24"/>
              </w:rPr>
            </w:pPr>
            <w:r>
              <w:rPr>
                <w:rFonts w:eastAsia="宋体"/>
                <w:b/>
                <w:bCs/>
                <w:kern w:val="0"/>
                <w:sz w:val="24"/>
                <w:szCs w:val="24"/>
              </w:rPr>
              <w:t>得分</w:t>
            </w:r>
          </w:p>
        </w:tc>
        <w:tc>
          <w:tcPr>
            <w:tcW w:w="2411" w:type="dxa"/>
            <w:vAlign w:val="center"/>
          </w:tcPr>
          <w:p>
            <w:pPr>
              <w:widowControl/>
              <w:snapToGrid w:val="0"/>
              <w:spacing w:line="640" w:lineRule="exact"/>
              <w:jc w:val="center"/>
              <w:rPr>
                <w:rFonts w:hint="default" w:eastAsia="宋体"/>
                <w:b/>
                <w:bCs/>
                <w:kern w:val="0"/>
                <w:sz w:val="24"/>
                <w:szCs w:val="24"/>
                <w:lang w:val="en-US" w:eastAsia="zh-CN"/>
              </w:rPr>
            </w:pPr>
            <w:r>
              <w:rPr>
                <w:rFonts w:hint="eastAsia" w:eastAsia="宋体"/>
                <w:b/>
                <w:bCs/>
                <w:kern w:val="0"/>
                <w:sz w:val="24"/>
                <w:szCs w:val="24"/>
                <w:lang w:val="en-US" w:eastAsia="zh-CN"/>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27" w:type="dxa"/>
            <w:vMerge w:val="restart"/>
            <w:vAlign w:val="center"/>
          </w:tcPr>
          <w:p>
            <w:pPr>
              <w:widowControl/>
              <w:snapToGrid w:val="0"/>
              <w:spacing w:line="640" w:lineRule="exact"/>
              <w:jc w:val="center"/>
              <w:rPr>
                <w:rFonts w:hint="default" w:eastAsia="宋体"/>
                <w:kern w:val="0"/>
                <w:sz w:val="21"/>
                <w:szCs w:val="21"/>
                <w:lang w:val="en-US" w:eastAsia="zh-CN"/>
              </w:rPr>
            </w:pPr>
            <w:r>
              <w:rPr>
                <w:rFonts w:hint="eastAsia" w:eastAsia="宋体"/>
                <w:kern w:val="0"/>
                <w:sz w:val="21"/>
                <w:szCs w:val="21"/>
                <w:lang w:val="en-US" w:eastAsia="zh-CN"/>
              </w:rPr>
              <w:t>通用指标（30/30分）</w:t>
            </w:r>
          </w:p>
        </w:tc>
        <w:tc>
          <w:tcPr>
            <w:tcW w:w="1404" w:type="dxa"/>
            <w:vMerge w:val="restart"/>
            <w:vAlign w:val="center"/>
          </w:tcPr>
          <w:p>
            <w:pPr>
              <w:widowControl/>
              <w:snapToGrid w:val="0"/>
              <w:spacing w:line="640" w:lineRule="exact"/>
              <w:jc w:val="center"/>
              <w:rPr>
                <w:rFonts w:hint="default" w:eastAsia="宋体"/>
                <w:b/>
                <w:bCs/>
                <w:kern w:val="0"/>
                <w:sz w:val="21"/>
                <w:szCs w:val="21"/>
                <w:lang w:val="en-US" w:eastAsia="zh-CN"/>
              </w:rPr>
            </w:pPr>
            <w:r>
              <w:rPr>
                <w:rFonts w:hint="eastAsia" w:eastAsia="宋体"/>
                <w:kern w:val="0"/>
                <w:sz w:val="21"/>
                <w:szCs w:val="21"/>
                <w:lang w:val="en-US" w:eastAsia="zh-CN"/>
              </w:rPr>
              <w:t>项目决策（8/8分）</w:t>
            </w:r>
          </w:p>
        </w:tc>
        <w:tc>
          <w:tcPr>
            <w:tcW w:w="1815" w:type="dxa"/>
            <w:vAlign w:val="center"/>
          </w:tcPr>
          <w:p>
            <w:pPr>
              <w:widowControl/>
              <w:snapToGrid w:val="0"/>
              <w:spacing w:line="640" w:lineRule="exact"/>
              <w:jc w:val="center"/>
              <w:rPr>
                <w:rFonts w:hint="default" w:eastAsia="宋体"/>
                <w:kern w:val="0"/>
                <w:sz w:val="21"/>
                <w:szCs w:val="21"/>
                <w:lang w:val="en-US" w:eastAsia="zh-CN"/>
              </w:rPr>
            </w:pPr>
            <w:r>
              <w:rPr>
                <w:rFonts w:hint="eastAsia" w:eastAsia="宋体"/>
                <w:kern w:val="0"/>
                <w:sz w:val="21"/>
                <w:szCs w:val="21"/>
                <w:lang w:val="en-US" w:eastAsia="zh-CN"/>
              </w:rPr>
              <w:t>程序严密</w:t>
            </w:r>
          </w:p>
        </w:tc>
        <w:tc>
          <w:tcPr>
            <w:tcW w:w="865" w:type="dxa"/>
            <w:vAlign w:val="center"/>
          </w:tcPr>
          <w:p>
            <w:pPr>
              <w:widowControl/>
              <w:snapToGrid w:val="0"/>
              <w:spacing w:line="640" w:lineRule="exact"/>
              <w:jc w:val="center"/>
              <w:rPr>
                <w:rFonts w:hint="eastAsia" w:eastAsia="宋体"/>
                <w:kern w:val="0"/>
                <w:sz w:val="21"/>
                <w:szCs w:val="21"/>
                <w:lang w:eastAsia="zh-CN"/>
              </w:rPr>
            </w:pPr>
            <w:r>
              <w:rPr>
                <w:rFonts w:hint="eastAsia" w:eastAsia="宋体"/>
                <w:kern w:val="0"/>
                <w:sz w:val="21"/>
                <w:szCs w:val="21"/>
                <w:lang w:val="en-US" w:eastAsia="zh-CN"/>
              </w:rPr>
              <w:t>4</w:t>
            </w:r>
          </w:p>
        </w:tc>
        <w:tc>
          <w:tcPr>
            <w:tcW w:w="739" w:type="dxa"/>
            <w:vAlign w:val="center"/>
          </w:tcPr>
          <w:p>
            <w:pPr>
              <w:widowControl/>
              <w:spacing w:line="640" w:lineRule="exact"/>
              <w:jc w:val="center"/>
              <w:rPr>
                <w:rFonts w:hint="eastAsia" w:eastAsia="宋体"/>
                <w:kern w:val="0"/>
                <w:sz w:val="21"/>
                <w:szCs w:val="21"/>
                <w:lang w:eastAsia="zh-CN"/>
              </w:rPr>
            </w:pPr>
            <w:r>
              <w:rPr>
                <w:rFonts w:hint="eastAsia" w:eastAsia="宋体"/>
                <w:kern w:val="0"/>
                <w:sz w:val="21"/>
                <w:szCs w:val="21"/>
                <w:lang w:val="en-US" w:eastAsia="zh-CN"/>
              </w:rPr>
              <w:t>4</w:t>
            </w:r>
          </w:p>
        </w:tc>
        <w:tc>
          <w:tcPr>
            <w:tcW w:w="2411" w:type="dxa"/>
            <w:vAlign w:val="center"/>
          </w:tcPr>
          <w:p>
            <w:pPr>
              <w:widowControl/>
              <w:spacing w:line="640" w:lineRule="exact"/>
              <w:jc w:val="center"/>
              <w:rPr>
                <w:rFonts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327" w:type="dxa"/>
            <w:vMerge w:val="continue"/>
            <w:vAlign w:val="center"/>
          </w:tcPr>
          <w:p>
            <w:pPr>
              <w:widowControl/>
              <w:snapToGrid w:val="0"/>
              <w:spacing w:line="640" w:lineRule="exact"/>
              <w:jc w:val="left"/>
              <w:rPr>
                <w:rFonts w:eastAsia="宋体"/>
                <w:kern w:val="0"/>
                <w:sz w:val="21"/>
                <w:szCs w:val="21"/>
              </w:rPr>
            </w:pPr>
          </w:p>
        </w:tc>
        <w:tc>
          <w:tcPr>
            <w:tcW w:w="1404" w:type="dxa"/>
            <w:vMerge w:val="continue"/>
            <w:vAlign w:val="center"/>
          </w:tcPr>
          <w:p>
            <w:pPr>
              <w:widowControl/>
              <w:snapToGrid w:val="0"/>
              <w:spacing w:line="640" w:lineRule="exact"/>
              <w:jc w:val="left"/>
              <w:rPr>
                <w:rFonts w:eastAsia="宋体"/>
                <w:b/>
                <w:bCs/>
                <w:kern w:val="0"/>
                <w:sz w:val="21"/>
                <w:szCs w:val="21"/>
              </w:rPr>
            </w:pPr>
          </w:p>
        </w:tc>
        <w:tc>
          <w:tcPr>
            <w:tcW w:w="1815" w:type="dxa"/>
            <w:vAlign w:val="center"/>
          </w:tcPr>
          <w:p>
            <w:pPr>
              <w:widowControl/>
              <w:snapToGrid w:val="0"/>
              <w:spacing w:line="640" w:lineRule="exact"/>
              <w:jc w:val="center"/>
              <w:rPr>
                <w:rFonts w:hint="default" w:eastAsia="宋体"/>
                <w:kern w:val="0"/>
                <w:sz w:val="21"/>
                <w:szCs w:val="21"/>
                <w:lang w:val="en-US" w:eastAsia="zh-CN"/>
              </w:rPr>
            </w:pPr>
            <w:r>
              <w:rPr>
                <w:rFonts w:hint="eastAsia" w:eastAsia="宋体"/>
                <w:kern w:val="0"/>
                <w:sz w:val="21"/>
                <w:szCs w:val="21"/>
                <w:lang w:val="en-US" w:eastAsia="zh-CN"/>
              </w:rPr>
              <w:t>规划合理</w:t>
            </w:r>
          </w:p>
        </w:tc>
        <w:tc>
          <w:tcPr>
            <w:tcW w:w="865" w:type="dxa"/>
            <w:vAlign w:val="center"/>
          </w:tcPr>
          <w:p>
            <w:pPr>
              <w:widowControl/>
              <w:snapToGrid w:val="0"/>
              <w:spacing w:line="640" w:lineRule="exact"/>
              <w:jc w:val="center"/>
              <w:rPr>
                <w:rFonts w:hint="eastAsia" w:eastAsia="宋体"/>
                <w:kern w:val="0"/>
                <w:sz w:val="21"/>
                <w:szCs w:val="21"/>
                <w:lang w:eastAsia="zh-CN"/>
              </w:rPr>
            </w:pPr>
            <w:r>
              <w:rPr>
                <w:rFonts w:hint="eastAsia" w:eastAsia="宋体"/>
                <w:kern w:val="0"/>
                <w:sz w:val="21"/>
                <w:szCs w:val="21"/>
                <w:lang w:val="en-US" w:eastAsia="zh-CN"/>
              </w:rPr>
              <w:t>4</w:t>
            </w:r>
          </w:p>
        </w:tc>
        <w:tc>
          <w:tcPr>
            <w:tcW w:w="739" w:type="dxa"/>
            <w:vAlign w:val="center"/>
          </w:tcPr>
          <w:p>
            <w:pPr>
              <w:widowControl/>
              <w:spacing w:line="640" w:lineRule="exact"/>
              <w:jc w:val="center"/>
              <w:rPr>
                <w:rFonts w:hint="eastAsia" w:eastAsia="宋体"/>
                <w:kern w:val="0"/>
                <w:sz w:val="21"/>
                <w:szCs w:val="21"/>
                <w:lang w:eastAsia="zh-CN"/>
              </w:rPr>
            </w:pPr>
            <w:r>
              <w:rPr>
                <w:rFonts w:hint="eastAsia" w:eastAsia="宋体"/>
                <w:kern w:val="0"/>
                <w:sz w:val="21"/>
                <w:szCs w:val="21"/>
                <w:lang w:val="en-US" w:eastAsia="zh-CN"/>
              </w:rPr>
              <w:t>4</w:t>
            </w:r>
          </w:p>
        </w:tc>
        <w:tc>
          <w:tcPr>
            <w:tcW w:w="2411" w:type="dxa"/>
            <w:vAlign w:val="center"/>
          </w:tcPr>
          <w:p>
            <w:pPr>
              <w:widowControl/>
              <w:spacing w:line="640" w:lineRule="exact"/>
              <w:jc w:val="center"/>
              <w:rPr>
                <w:rFonts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Pr>
          <w:p>
            <w:pPr>
              <w:snapToGrid w:val="0"/>
              <w:spacing w:line="640" w:lineRule="exact"/>
              <w:rPr>
                <w:rFonts w:eastAsia="宋体"/>
                <w:kern w:val="0"/>
                <w:sz w:val="21"/>
                <w:szCs w:val="21"/>
              </w:rPr>
            </w:pPr>
          </w:p>
        </w:tc>
        <w:tc>
          <w:tcPr>
            <w:tcW w:w="1404" w:type="dxa"/>
            <w:vMerge w:val="restart"/>
            <w:vAlign w:val="center"/>
          </w:tcPr>
          <w:p>
            <w:pPr>
              <w:snapToGrid w:val="0"/>
              <w:spacing w:line="640" w:lineRule="exact"/>
              <w:jc w:val="center"/>
              <w:rPr>
                <w:rFonts w:hint="default" w:eastAsia="宋体"/>
                <w:kern w:val="0"/>
                <w:sz w:val="21"/>
                <w:szCs w:val="21"/>
                <w:lang w:val="en-US" w:eastAsia="zh-CN"/>
              </w:rPr>
            </w:pPr>
            <w:r>
              <w:rPr>
                <w:rFonts w:hint="eastAsia" w:eastAsia="宋体"/>
                <w:kern w:val="0"/>
                <w:sz w:val="21"/>
                <w:szCs w:val="21"/>
                <w:lang w:val="en-US" w:eastAsia="zh-CN"/>
              </w:rPr>
              <w:t>项目实施（12/12分）</w:t>
            </w:r>
          </w:p>
        </w:tc>
        <w:tc>
          <w:tcPr>
            <w:tcW w:w="1815" w:type="dxa"/>
            <w:vAlign w:val="center"/>
          </w:tcPr>
          <w:p>
            <w:pPr>
              <w:widowControl/>
              <w:snapToGrid w:val="0"/>
              <w:spacing w:line="640" w:lineRule="exact"/>
              <w:jc w:val="center"/>
              <w:rPr>
                <w:rFonts w:hint="default" w:eastAsia="宋体"/>
                <w:kern w:val="0"/>
                <w:sz w:val="21"/>
                <w:szCs w:val="21"/>
                <w:lang w:val="en-US" w:eastAsia="zh-CN"/>
              </w:rPr>
            </w:pPr>
            <w:r>
              <w:rPr>
                <w:rFonts w:hint="eastAsia" w:eastAsia="宋体"/>
                <w:kern w:val="0"/>
                <w:sz w:val="21"/>
                <w:szCs w:val="21"/>
                <w:lang w:val="en-US" w:eastAsia="zh-CN"/>
              </w:rPr>
              <w:t>分配合理</w:t>
            </w:r>
          </w:p>
        </w:tc>
        <w:tc>
          <w:tcPr>
            <w:tcW w:w="865" w:type="dxa"/>
            <w:vAlign w:val="center"/>
          </w:tcPr>
          <w:p>
            <w:pPr>
              <w:widowControl/>
              <w:snapToGrid w:val="0"/>
              <w:spacing w:line="640" w:lineRule="exact"/>
              <w:jc w:val="center"/>
              <w:rPr>
                <w:rFonts w:hint="eastAsia" w:eastAsia="宋体"/>
                <w:kern w:val="0"/>
                <w:sz w:val="21"/>
                <w:szCs w:val="21"/>
                <w:lang w:eastAsia="zh-CN"/>
              </w:rPr>
            </w:pPr>
            <w:r>
              <w:rPr>
                <w:rFonts w:hint="eastAsia" w:eastAsia="宋体"/>
                <w:kern w:val="0"/>
                <w:sz w:val="21"/>
                <w:szCs w:val="21"/>
                <w:lang w:val="en-US" w:eastAsia="zh-CN"/>
              </w:rPr>
              <w:t>4</w:t>
            </w:r>
          </w:p>
        </w:tc>
        <w:tc>
          <w:tcPr>
            <w:tcW w:w="739" w:type="dxa"/>
            <w:vAlign w:val="center"/>
          </w:tcPr>
          <w:p>
            <w:pPr>
              <w:widowControl/>
              <w:spacing w:line="640" w:lineRule="exact"/>
              <w:jc w:val="center"/>
              <w:rPr>
                <w:rFonts w:hint="eastAsia" w:eastAsia="宋体"/>
                <w:kern w:val="0"/>
                <w:sz w:val="21"/>
                <w:szCs w:val="21"/>
                <w:lang w:eastAsia="zh-CN"/>
              </w:rPr>
            </w:pPr>
            <w:r>
              <w:rPr>
                <w:rFonts w:hint="eastAsia" w:eastAsia="宋体"/>
                <w:kern w:val="0"/>
                <w:sz w:val="21"/>
                <w:szCs w:val="21"/>
                <w:lang w:val="en-US" w:eastAsia="zh-CN"/>
              </w:rPr>
              <w:t>4</w:t>
            </w:r>
          </w:p>
        </w:tc>
        <w:tc>
          <w:tcPr>
            <w:tcW w:w="2411" w:type="dxa"/>
            <w:vAlign w:val="center"/>
          </w:tcPr>
          <w:p>
            <w:pPr>
              <w:widowControl/>
              <w:spacing w:line="640" w:lineRule="exact"/>
              <w:jc w:val="center"/>
              <w:rPr>
                <w:rFonts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Pr>
          <w:p>
            <w:pPr>
              <w:snapToGrid w:val="0"/>
              <w:spacing w:line="640" w:lineRule="exact"/>
              <w:rPr>
                <w:rFonts w:eastAsia="宋体"/>
                <w:kern w:val="0"/>
                <w:sz w:val="21"/>
                <w:szCs w:val="21"/>
              </w:rPr>
            </w:pPr>
          </w:p>
        </w:tc>
        <w:tc>
          <w:tcPr>
            <w:tcW w:w="1404" w:type="dxa"/>
            <w:vMerge w:val="continue"/>
          </w:tcPr>
          <w:p>
            <w:pPr>
              <w:snapToGrid w:val="0"/>
              <w:spacing w:line="640" w:lineRule="exact"/>
              <w:rPr>
                <w:rFonts w:eastAsia="宋体"/>
                <w:kern w:val="0"/>
                <w:sz w:val="21"/>
                <w:szCs w:val="21"/>
              </w:rPr>
            </w:pPr>
          </w:p>
        </w:tc>
        <w:tc>
          <w:tcPr>
            <w:tcW w:w="1815" w:type="dxa"/>
            <w:vAlign w:val="center"/>
          </w:tcPr>
          <w:p>
            <w:pPr>
              <w:widowControl/>
              <w:snapToGrid w:val="0"/>
              <w:spacing w:line="640" w:lineRule="exact"/>
              <w:jc w:val="center"/>
              <w:rPr>
                <w:rFonts w:hint="default" w:eastAsia="宋体"/>
                <w:kern w:val="0"/>
                <w:sz w:val="21"/>
                <w:szCs w:val="21"/>
                <w:lang w:val="en-US" w:eastAsia="zh-CN"/>
              </w:rPr>
            </w:pPr>
            <w:r>
              <w:rPr>
                <w:rFonts w:hint="eastAsia" w:eastAsia="宋体"/>
                <w:kern w:val="0"/>
                <w:sz w:val="21"/>
                <w:szCs w:val="21"/>
                <w:lang w:val="en-US" w:eastAsia="zh-CN"/>
              </w:rPr>
              <w:t>使用合规</w:t>
            </w:r>
          </w:p>
        </w:tc>
        <w:tc>
          <w:tcPr>
            <w:tcW w:w="865" w:type="dxa"/>
            <w:vAlign w:val="center"/>
          </w:tcPr>
          <w:p>
            <w:pPr>
              <w:widowControl/>
              <w:snapToGrid w:val="0"/>
              <w:spacing w:line="640" w:lineRule="exact"/>
              <w:jc w:val="center"/>
              <w:rPr>
                <w:rFonts w:hint="eastAsia" w:eastAsia="宋体"/>
                <w:kern w:val="0"/>
                <w:sz w:val="21"/>
                <w:szCs w:val="21"/>
                <w:lang w:eastAsia="zh-CN"/>
              </w:rPr>
            </w:pPr>
            <w:r>
              <w:rPr>
                <w:rFonts w:hint="eastAsia" w:eastAsia="宋体"/>
                <w:kern w:val="0"/>
                <w:sz w:val="21"/>
                <w:szCs w:val="21"/>
                <w:lang w:val="en-US" w:eastAsia="zh-CN"/>
              </w:rPr>
              <w:t>4</w:t>
            </w:r>
          </w:p>
        </w:tc>
        <w:tc>
          <w:tcPr>
            <w:tcW w:w="739" w:type="dxa"/>
            <w:vAlign w:val="center"/>
          </w:tcPr>
          <w:p>
            <w:pPr>
              <w:widowControl/>
              <w:spacing w:line="640" w:lineRule="exact"/>
              <w:jc w:val="center"/>
              <w:rPr>
                <w:rFonts w:hint="eastAsia" w:eastAsia="宋体"/>
                <w:kern w:val="0"/>
                <w:sz w:val="21"/>
                <w:szCs w:val="21"/>
                <w:lang w:eastAsia="zh-CN"/>
              </w:rPr>
            </w:pPr>
            <w:r>
              <w:rPr>
                <w:rFonts w:hint="eastAsia" w:eastAsia="宋体"/>
                <w:kern w:val="0"/>
                <w:sz w:val="21"/>
                <w:szCs w:val="21"/>
                <w:lang w:val="en-US" w:eastAsia="zh-CN"/>
              </w:rPr>
              <w:t>4</w:t>
            </w:r>
          </w:p>
        </w:tc>
        <w:tc>
          <w:tcPr>
            <w:tcW w:w="2411" w:type="dxa"/>
            <w:vAlign w:val="center"/>
          </w:tcPr>
          <w:p>
            <w:pPr>
              <w:widowControl/>
              <w:spacing w:line="640" w:lineRule="exact"/>
              <w:jc w:val="center"/>
              <w:rPr>
                <w:rFonts w:hint="eastAsia"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327" w:type="dxa"/>
            <w:vMerge w:val="continue"/>
          </w:tcPr>
          <w:p>
            <w:pPr>
              <w:snapToGrid w:val="0"/>
              <w:spacing w:line="640" w:lineRule="exact"/>
              <w:rPr>
                <w:rFonts w:eastAsia="宋体"/>
                <w:kern w:val="0"/>
                <w:sz w:val="21"/>
                <w:szCs w:val="21"/>
              </w:rPr>
            </w:pPr>
          </w:p>
        </w:tc>
        <w:tc>
          <w:tcPr>
            <w:tcW w:w="1404" w:type="dxa"/>
            <w:vMerge w:val="continue"/>
          </w:tcPr>
          <w:p>
            <w:pPr>
              <w:snapToGrid w:val="0"/>
              <w:spacing w:line="640" w:lineRule="exact"/>
              <w:rPr>
                <w:rFonts w:eastAsia="宋体"/>
                <w:kern w:val="0"/>
                <w:sz w:val="21"/>
                <w:szCs w:val="21"/>
              </w:rPr>
            </w:pPr>
          </w:p>
        </w:tc>
        <w:tc>
          <w:tcPr>
            <w:tcW w:w="1815" w:type="dxa"/>
            <w:vAlign w:val="center"/>
          </w:tcPr>
          <w:p>
            <w:pPr>
              <w:widowControl/>
              <w:snapToGrid w:val="0"/>
              <w:spacing w:line="640" w:lineRule="exact"/>
              <w:jc w:val="center"/>
              <w:rPr>
                <w:rFonts w:hint="default" w:eastAsia="宋体"/>
                <w:kern w:val="0"/>
                <w:sz w:val="21"/>
                <w:szCs w:val="21"/>
                <w:lang w:val="en-US" w:eastAsia="zh-CN"/>
              </w:rPr>
            </w:pPr>
            <w:r>
              <w:rPr>
                <w:rFonts w:hint="eastAsia" w:eastAsia="宋体"/>
                <w:kern w:val="0"/>
                <w:sz w:val="21"/>
                <w:szCs w:val="21"/>
                <w:lang w:val="en-US" w:eastAsia="zh-CN"/>
              </w:rPr>
              <w:t>执行有效</w:t>
            </w:r>
          </w:p>
        </w:tc>
        <w:tc>
          <w:tcPr>
            <w:tcW w:w="865" w:type="dxa"/>
            <w:vAlign w:val="center"/>
          </w:tcPr>
          <w:p>
            <w:pPr>
              <w:widowControl/>
              <w:snapToGrid w:val="0"/>
              <w:spacing w:line="640" w:lineRule="exact"/>
              <w:jc w:val="center"/>
              <w:rPr>
                <w:rFonts w:hint="eastAsia" w:eastAsia="宋体"/>
                <w:kern w:val="0"/>
                <w:sz w:val="21"/>
                <w:szCs w:val="21"/>
                <w:lang w:eastAsia="zh-CN"/>
              </w:rPr>
            </w:pPr>
            <w:r>
              <w:rPr>
                <w:rFonts w:hint="eastAsia" w:eastAsia="宋体"/>
                <w:kern w:val="0"/>
                <w:sz w:val="21"/>
                <w:szCs w:val="21"/>
                <w:lang w:val="en-US" w:eastAsia="zh-CN"/>
              </w:rPr>
              <w:t>4</w:t>
            </w:r>
          </w:p>
        </w:tc>
        <w:tc>
          <w:tcPr>
            <w:tcW w:w="739" w:type="dxa"/>
            <w:vAlign w:val="center"/>
          </w:tcPr>
          <w:p>
            <w:pPr>
              <w:widowControl/>
              <w:spacing w:line="640" w:lineRule="exact"/>
              <w:jc w:val="center"/>
              <w:rPr>
                <w:rFonts w:hint="eastAsia" w:eastAsia="宋体"/>
                <w:kern w:val="0"/>
                <w:sz w:val="21"/>
                <w:szCs w:val="21"/>
                <w:lang w:eastAsia="zh-CN"/>
              </w:rPr>
            </w:pPr>
            <w:r>
              <w:rPr>
                <w:rFonts w:hint="eastAsia" w:eastAsia="宋体"/>
                <w:kern w:val="0"/>
                <w:sz w:val="21"/>
                <w:szCs w:val="21"/>
                <w:lang w:val="en-US" w:eastAsia="zh-CN"/>
              </w:rPr>
              <w:t>4</w:t>
            </w:r>
          </w:p>
        </w:tc>
        <w:tc>
          <w:tcPr>
            <w:tcW w:w="2411" w:type="dxa"/>
            <w:vAlign w:val="center"/>
          </w:tcPr>
          <w:p>
            <w:pPr>
              <w:widowControl/>
              <w:spacing w:line="640" w:lineRule="exact"/>
              <w:jc w:val="center"/>
              <w:rPr>
                <w:rFonts w:hint="eastAsia"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Pr>
          <w:p>
            <w:pPr>
              <w:snapToGrid w:val="0"/>
              <w:spacing w:line="640" w:lineRule="exact"/>
              <w:rPr>
                <w:rFonts w:eastAsia="宋体"/>
                <w:kern w:val="0"/>
                <w:sz w:val="21"/>
                <w:szCs w:val="21"/>
              </w:rPr>
            </w:pPr>
          </w:p>
        </w:tc>
        <w:tc>
          <w:tcPr>
            <w:tcW w:w="1404" w:type="dxa"/>
            <w:vMerge w:val="restart"/>
            <w:vAlign w:val="center"/>
          </w:tcPr>
          <w:p>
            <w:pPr>
              <w:snapToGrid w:val="0"/>
              <w:spacing w:line="640" w:lineRule="exact"/>
              <w:jc w:val="center"/>
              <w:rPr>
                <w:rFonts w:hint="default" w:eastAsia="宋体"/>
                <w:kern w:val="0"/>
                <w:sz w:val="21"/>
                <w:szCs w:val="21"/>
                <w:lang w:val="en-US" w:eastAsia="zh-CN"/>
              </w:rPr>
            </w:pPr>
            <w:r>
              <w:rPr>
                <w:rFonts w:hint="eastAsia" w:eastAsia="宋体"/>
                <w:kern w:val="0"/>
                <w:sz w:val="21"/>
                <w:szCs w:val="21"/>
                <w:lang w:val="en-US" w:eastAsia="zh-CN"/>
              </w:rPr>
              <w:t>完成结果（10/10分）</w:t>
            </w:r>
          </w:p>
        </w:tc>
        <w:tc>
          <w:tcPr>
            <w:tcW w:w="1815" w:type="dxa"/>
            <w:vAlign w:val="center"/>
          </w:tcPr>
          <w:p>
            <w:pPr>
              <w:widowControl/>
              <w:snapToGrid w:val="0"/>
              <w:spacing w:line="640" w:lineRule="exact"/>
              <w:jc w:val="center"/>
              <w:rPr>
                <w:rFonts w:hint="default" w:eastAsia="宋体"/>
                <w:kern w:val="0"/>
                <w:sz w:val="21"/>
                <w:szCs w:val="21"/>
                <w:lang w:val="en-US" w:eastAsia="zh-CN"/>
              </w:rPr>
            </w:pPr>
            <w:r>
              <w:rPr>
                <w:rFonts w:hint="eastAsia" w:eastAsia="宋体"/>
                <w:kern w:val="0"/>
                <w:sz w:val="21"/>
                <w:szCs w:val="21"/>
                <w:lang w:val="en-US" w:eastAsia="zh-CN"/>
              </w:rPr>
              <w:t>预算完成</w:t>
            </w:r>
          </w:p>
        </w:tc>
        <w:tc>
          <w:tcPr>
            <w:tcW w:w="865" w:type="dxa"/>
            <w:vAlign w:val="center"/>
          </w:tcPr>
          <w:p>
            <w:pPr>
              <w:widowControl/>
              <w:snapToGrid w:val="0"/>
              <w:spacing w:line="640" w:lineRule="exact"/>
              <w:jc w:val="center"/>
              <w:rPr>
                <w:rFonts w:hint="eastAsia" w:eastAsia="宋体"/>
                <w:kern w:val="0"/>
                <w:sz w:val="21"/>
                <w:szCs w:val="21"/>
                <w:lang w:eastAsia="zh-CN"/>
              </w:rPr>
            </w:pPr>
            <w:r>
              <w:rPr>
                <w:rFonts w:hint="eastAsia" w:eastAsia="宋体"/>
                <w:kern w:val="0"/>
                <w:sz w:val="21"/>
                <w:szCs w:val="21"/>
                <w:lang w:val="en-US" w:eastAsia="zh-CN"/>
              </w:rPr>
              <w:t>4</w:t>
            </w:r>
          </w:p>
        </w:tc>
        <w:tc>
          <w:tcPr>
            <w:tcW w:w="739" w:type="dxa"/>
            <w:vAlign w:val="center"/>
          </w:tcPr>
          <w:p>
            <w:pPr>
              <w:widowControl/>
              <w:spacing w:line="640" w:lineRule="exact"/>
              <w:jc w:val="center"/>
              <w:rPr>
                <w:rFonts w:hint="eastAsia" w:eastAsia="宋体"/>
                <w:kern w:val="0"/>
                <w:sz w:val="21"/>
                <w:szCs w:val="21"/>
                <w:lang w:eastAsia="zh-CN"/>
              </w:rPr>
            </w:pPr>
            <w:r>
              <w:rPr>
                <w:rFonts w:hint="eastAsia" w:eastAsia="宋体"/>
                <w:kern w:val="0"/>
                <w:sz w:val="21"/>
                <w:szCs w:val="21"/>
                <w:lang w:val="en-US" w:eastAsia="zh-CN"/>
              </w:rPr>
              <w:t>4</w:t>
            </w:r>
          </w:p>
        </w:tc>
        <w:tc>
          <w:tcPr>
            <w:tcW w:w="2411" w:type="dxa"/>
            <w:vAlign w:val="center"/>
          </w:tcPr>
          <w:p>
            <w:pPr>
              <w:widowControl/>
              <w:spacing w:line="640" w:lineRule="exact"/>
              <w:jc w:val="center"/>
              <w:rPr>
                <w:rFonts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Pr>
          <w:p>
            <w:pPr>
              <w:snapToGrid w:val="0"/>
              <w:spacing w:line="640" w:lineRule="exact"/>
              <w:rPr>
                <w:rFonts w:eastAsia="宋体"/>
                <w:kern w:val="0"/>
                <w:sz w:val="21"/>
                <w:szCs w:val="21"/>
              </w:rPr>
            </w:pPr>
          </w:p>
        </w:tc>
        <w:tc>
          <w:tcPr>
            <w:tcW w:w="1404" w:type="dxa"/>
            <w:vMerge w:val="continue"/>
            <w:vAlign w:val="center"/>
          </w:tcPr>
          <w:p>
            <w:pPr>
              <w:snapToGrid w:val="0"/>
              <w:spacing w:line="640" w:lineRule="exact"/>
              <w:rPr>
                <w:rFonts w:eastAsia="宋体"/>
                <w:kern w:val="0"/>
                <w:sz w:val="21"/>
                <w:szCs w:val="21"/>
              </w:rPr>
            </w:pPr>
          </w:p>
        </w:tc>
        <w:tc>
          <w:tcPr>
            <w:tcW w:w="1815" w:type="dxa"/>
            <w:vAlign w:val="center"/>
          </w:tcPr>
          <w:p>
            <w:pPr>
              <w:widowControl/>
              <w:snapToGrid w:val="0"/>
              <w:spacing w:line="640" w:lineRule="exact"/>
              <w:jc w:val="center"/>
              <w:rPr>
                <w:rFonts w:hint="default" w:eastAsia="宋体"/>
                <w:kern w:val="0"/>
                <w:sz w:val="21"/>
                <w:szCs w:val="21"/>
                <w:lang w:val="en-US" w:eastAsia="zh-CN"/>
              </w:rPr>
            </w:pPr>
            <w:r>
              <w:rPr>
                <w:rFonts w:hint="eastAsia" w:eastAsia="宋体"/>
                <w:kern w:val="0"/>
                <w:sz w:val="21"/>
                <w:szCs w:val="21"/>
                <w:lang w:val="en-US" w:eastAsia="zh-CN"/>
              </w:rPr>
              <w:t>目标完成</w:t>
            </w:r>
          </w:p>
        </w:tc>
        <w:tc>
          <w:tcPr>
            <w:tcW w:w="865" w:type="dxa"/>
            <w:vAlign w:val="center"/>
          </w:tcPr>
          <w:p>
            <w:pPr>
              <w:widowControl/>
              <w:snapToGrid w:val="0"/>
              <w:spacing w:line="640" w:lineRule="exact"/>
              <w:jc w:val="center"/>
              <w:rPr>
                <w:rFonts w:hint="eastAsia" w:eastAsia="宋体"/>
                <w:kern w:val="0"/>
                <w:sz w:val="21"/>
                <w:szCs w:val="21"/>
                <w:lang w:eastAsia="zh-CN"/>
              </w:rPr>
            </w:pPr>
            <w:r>
              <w:rPr>
                <w:rFonts w:hint="eastAsia" w:eastAsia="宋体"/>
                <w:kern w:val="0"/>
                <w:sz w:val="21"/>
                <w:szCs w:val="21"/>
                <w:lang w:val="en-US" w:eastAsia="zh-CN"/>
              </w:rPr>
              <w:t>4</w:t>
            </w:r>
          </w:p>
        </w:tc>
        <w:tc>
          <w:tcPr>
            <w:tcW w:w="739" w:type="dxa"/>
            <w:vAlign w:val="center"/>
          </w:tcPr>
          <w:p>
            <w:pPr>
              <w:widowControl/>
              <w:spacing w:line="640" w:lineRule="exact"/>
              <w:jc w:val="center"/>
              <w:rPr>
                <w:rFonts w:hint="eastAsia" w:eastAsia="宋体"/>
                <w:kern w:val="0"/>
                <w:sz w:val="21"/>
                <w:szCs w:val="21"/>
                <w:lang w:eastAsia="zh-CN"/>
              </w:rPr>
            </w:pPr>
            <w:r>
              <w:rPr>
                <w:rFonts w:hint="eastAsia" w:eastAsia="宋体"/>
                <w:kern w:val="0"/>
                <w:sz w:val="21"/>
                <w:szCs w:val="21"/>
                <w:lang w:val="en-US" w:eastAsia="zh-CN"/>
              </w:rPr>
              <w:t>4</w:t>
            </w:r>
          </w:p>
        </w:tc>
        <w:tc>
          <w:tcPr>
            <w:tcW w:w="2411" w:type="dxa"/>
            <w:vAlign w:val="center"/>
          </w:tcPr>
          <w:p>
            <w:pPr>
              <w:widowControl/>
              <w:spacing w:line="640" w:lineRule="exact"/>
              <w:jc w:val="center"/>
              <w:rPr>
                <w:rFonts w:hint="eastAsia"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Pr>
          <w:p>
            <w:pPr>
              <w:snapToGrid w:val="0"/>
              <w:spacing w:line="640" w:lineRule="exact"/>
              <w:rPr>
                <w:rFonts w:eastAsia="宋体"/>
                <w:kern w:val="0"/>
                <w:sz w:val="21"/>
                <w:szCs w:val="21"/>
              </w:rPr>
            </w:pPr>
          </w:p>
        </w:tc>
        <w:tc>
          <w:tcPr>
            <w:tcW w:w="1404" w:type="dxa"/>
            <w:vMerge w:val="continue"/>
            <w:vAlign w:val="center"/>
          </w:tcPr>
          <w:p>
            <w:pPr>
              <w:snapToGrid w:val="0"/>
              <w:spacing w:line="640" w:lineRule="exact"/>
              <w:rPr>
                <w:rFonts w:eastAsia="宋体"/>
                <w:kern w:val="0"/>
                <w:sz w:val="21"/>
                <w:szCs w:val="21"/>
              </w:rPr>
            </w:pPr>
          </w:p>
        </w:tc>
        <w:tc>
          <w:tcPr>
            <w:tcW w:w="1815" w:type="dxa"/>
            <w:vAlign w:val="center"/>
          </w:tcPr>
          <w:p>
            <w:pPr>
              <w:widowControl/>
              <w:snapToGrid w:val="0"/>
              <w:spacing w:line="640" w:lineRule="exact"/>
              <w:jc w:val="center"/>
              <w:rPr>
                <w:rFonts w:hint="default" w:eastAsia="宋体"/>
                <w:kern w:val="0"/>
                <w:sz w:val="21"/>
                <w:szCs w:val="21"/>
                <w:lang w:val="en-US" w:eastAsia="zh-CN"/>
              </w:rPr>
            </w:pPr>
            <w:r>
              <w:rPr>
                <w:rFonts w:hint="eastAsia" w:eastAsia="宋体"/>
                <w:kern w:val="0"/>
                <w:sz w:val="21"/>
                <w:szCs w:val="21"/>
                <w:lang w:val="en-US" w:eastAsia="zh-CN"/>
              </w:rPr>
              <w:t>违规记录</w:t>
            </w:r>
          </w:p>
        </w:tc>
        <w:tc>
          <w:tcPr>
            <w:tcW w:w="865" w:type="dxa"/>
            <w:vAlign w:val="center"/>
          </w:tcPr>
          <w:p>
            <w:pPr>
              <w:widowControl/>
              <w:snapToGrid w:val="0"/>
              <w:spacing w:line="640" w:lineRule="exact"/>
              <w:jc w:val="center"/>
              <w:rPr>
                <w:rFonts w:hint="eastAsia" w:eastAsia="宋体"/>
                <w:kern w:val="0"/>
                <w:sz w:val="21"/>
                <w:szCs w:val="21"/>
                <w:lang w:val="en-US" w:eastAsia="zh-CN"/>
              </w:rPr>
            </w:pPr>
            <w:r>
              <w:rPr>
                <w:rFonts w:hint="eastAsia" w:eastAsia="宋体"/>
                <w:kern w:val="0"/>
                <w:sz w:val="21"/>
                <w:szCs w:val="21"/>
                <w:lang w:val="en-US" w:eastAsia="zh-CN"/>
              </w:rPr>
              <w:t>2</w:t>
            </w:r>
          </w:p>
        </w:tc>
        <w:tc>
          <w:tcPr>
            <w:tcW w:w="739" w:type="dxa"/>
            <w:vAlign w:val="center"/>
          </w:tcPr>
          <w:p>
            <w:pPr>
              <w:widowControl/>
              <w:spacing w:line="640" w:lineRule="exact"/>
              <w:jc w:val="center"/>
              <w:rPr>
                <w:rFonts w:eastAsia="宋体"/>
                <w:kern w:val="0"/>
                <w:sz w:val="21"/>
                <w:szCs w:val="21"/>
              </w:rPr>
            </w:pPr>
            <w:r>
              <w:rPr>
                <w:rFonts w:eastAsia="宋体"/>
                <w:kern w:val="0"/>
                <w:sz w:val="21"/>
                <w:szCs w:val="21"/>
              </w:rPr>
              <w:t>2</w:t>
            </w:r>
          </w:p>
        </w:tc>
        <w:tc>
          <w:tcPr>
            <w:tcW w:w="2411" w:type="dxa"/>
            <w:vAlign w:val="center"/>
          </w:tcPr>
          <w:p>
            <w:pPr>
              <w:widowControl/>
              <w:spacing w:line="640" w:lineRule="exact"/>
              <w:jc w:val="center"/>
              <w:rPr>
                <w:rFonts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restart"/>
            <w:vAlign w:val="center"/>
          </w:tcPr>
          <w:p>
            <w:pPr>
              <w:snapToGrid w:val="0"/>
              <w:spacing w:line="640" w:lineRule="exact"/>
              <w:jc w:val="center"/>
              <w:rPr>
                <w:rFonts w:hint="default" w:eastAsia="宋体"/>
                <w:kern w:val="0"/>
                <w:sz w:val="21"/>
                <w:szCs w:val="21"/>
                <w:lang w:val="en-US" w:eastAsia="zh-CN"/>
              </w:rPr>
            </w:pPr>
            <w:r>
              <w:rPr>
                <w:rFonts w:hint="eastAsia" w:eastAsia="宋体"/>
                <w:kern w:val="0"/>
                <w:sz w:val="21"/>
                <w:szCs w:val="21"/>
                <w:lang w:val="en-US" w:eastAsia="zh-CN"/>
              </w:rPr>
              <w:t>共性指标（20/20分）</w:t>
            </w:r>
          </w:p>
        </w:tc>
        <w:tc>
          <w:tcPr>
            <w:tcW w:w="1404" w:type="dxa"/>
            <w:vMerge w:val="restart"/>
            <w:vAlign w:val="center"/>
          </w:tcPr>
          <w:p>
            <w:pPr>
              <w:snapToGrid w:val="0"/>
              <w:spacing w:line="640" w:lineRule="exact"/>
              <w:jc w:val="center"/>
              <w:rPr>
                <w:rFonts w:hint="default" w:eastAsia="宋体"/>
                <w:kern w:val="0"/>
                <w:sz w:val="21"/>
                <w:szCs w:val="21"/>
                <w:lang w:val="en-US" w:eastAsia="zh-CN"/>
              </w:rPr>
            </w:pPr>
            <w:r>
              <w:rPr>
                <w:rFonts w:hint="eastAsia" w:eastAsia="宋体"/>
                <w:kern w:val="0"/>
                <w:sz w:val="21"/>
                <w:szCs w:val="21"/>
                <w:lang w:val="en-US" w:eastAsia="zh-CN"/>
              </w:rPr>
              <w:t>项目效果</w:t>
            </w:r>
          </w:p>
        </w:tc>
        <w:tc>
          <w:tcPr>
            <w:tcW w:w="1815" w:type="dxa"/>
            <w:vAlign w:val="center"/>
          </w:tcPr>
          <w:p>
            <w:pPr>
              <w:widowControl/>
              <w:snapToGrid w:val="0"/>
              <w:spacing w:line="640" w:lineRule="exact"/>
              <w:jc w:val="center"/>
              <w:rPr>
                <w:rFonts w:hint="default" w:eastAsia="宋体"/>
                <w:kern w:val="0"/>
                <w:sz w:val="21"/>
                <w:szCs w:val="21"/>
                <w:lang w:val="en-US" w:eastAsia="zh-CN"/>
              </w:rPr>
            </w:pPr>
            <w:r>
              <w:rPr>
                <w:rFonts w:hint="eastAsia" w:eastAsia="宋体"/>
                <w:kern w:val="0"/>
                <w:sz w:val="21"/>
                <w:szCs w:val="21"/>
                <w:lang w:val="en-US" w:eastAsia="zh-CN"/>
              </w:rPr>
              <w:t>符合性</w:t>
            </w:r>
          </w:p>
        </w:tc>
        <w:tc>
          <w:tcPr>
            <w:tcW w:w="865" w:type="dxa"/>
            <w:vAlign w:val="center"/>
          </w:tcPr>
          <w:p>
            <w:pPr>
              <w:widowControl/>
              <w:snapToGrid w:val="0"/>
              <w:spacing w:line="640" w:lineRule="exact"/>
              <w:jc w:val="center"/>
              <w:rPr>
                <w:rFonts w:hint="eastAsia" w:eastAsia="宋体"/>
                <w:kern w:val="0"/>
                <w:sz w:val="21"/>
                <w:szCs w:val="21"/>
                <w:lang w:val="en-US" w:eastAsia="zh-CN"/>
              </w:rPr>
            </w:pPr>
            <w:r>
              <w:rPr>
                <w:rFonts w:eastAsia="宋体"/>
                <w:kern w:val="0"/>
                <w:sz w:val="21"/>
                <w:szCs w:val="21"/>
              </w:rPr>
              <w:t>1</w:t>
            </w:r>
            <w:r>
              <w:rPr>
                <w:rFonts w:hint="eastAsia" w:eastAsia="宋体"/>
                <w:kern w:val="0"/>
                <w:sz w:val="21"/>
                <w:szCs w:val="21"/>
                <w:lang w:val="en-US" w:eastAsia="zh-CN"/>
              </w:rPr>
              <w:t>0</w:t>
            </w:r>
          </w:p>
        </w:tc>
        <w:tc>
          <w:tcPr>
            <w:tcW w:w="739" w:type="dxa"/>
            <w:vAlign w:val="center"/>
          </w:tcPr>
          <w:p>
            <w:pPr>
              <w:widowControl/>
              <w:spacing w:line="640" w:lineRule="exact"/>
              <w:jc w:val="center"/>
              <w:rPr>
                <w:rFonts w:hint="eastAsia" w:eastAsia="宋体"/>
                <w:kern w:val="0"/>
                <w:sz w:val="21"/>
                <w:szCs w:val="21"/>
                <w:lang w:val="en-US" w:eastAsia="zh-CN"/>
              </w:rPr>
            </w:pPr>
            <w:r>
              <w:rPr>
                <w:rFonts w:eastAsia="宋体"/>
                <w:kern w:val="0"/>
                <w:sz w:val="21"/>
                <w:szCs w:val="21"/>
              </w:rPr>
              <w:t>1</w:t>
            </w:r>
            <w:r>
              <w:rPr>
                <w:rFonts w:hint="eastAsia" w:eastAsia="宋体"/>
                <w:kern w:val="0"/>
                <w:sz w:val="21"/>
                <w:szCs w:val="21"/>
                <w:lang w:val="en-US" w:eastAsia="zh-CN"/>
              </w:rPr>
              <w:t>0</w:t>
            </w:r>
          </w:p>
        </w:tc>
        <w:tc>
          <w:tcPr>
            <w:tcW w:w="2411" w:type="dxa"/>
            <w:vAlign w:val="center"/>
          </w:tcPr>
          <w:p>
            <w:pPr>
              <w:widowControl/>
              <w:spacing w:line="640" w:lineRule="exact"/>
              <w:jc w:val="center"/>
              <w:rPr>
                <w:rFonts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Pr>
          <w:p>
            <w:pPr>
              <w:snapToGrid w:val="0"/>
              <w:spacing w:line="640" w:lineRule="exact"/>
              <w:rPr>
                <w:rFonts w:eastAsia="宋体"/>
                <w:kern w:val="0"/>
                <w:sz w:val="21"/>
                <w:szCs w:val="21"/>
              </w:rPr>
            </w:pPr>
          </w:p>
        </w:tc>
        <w:tc>
          <w:tcPr>
            <w:tcW w:w="1404" w:type="dxa"/>
            <w:vMerge w:val="continue"/>
          </w:tcPr>
          <w:p>
            <w:pPr>
              <w:snapToGrid w:val="0"/>
              <w:spacing w:line="640" w:lineRule="exact"/>
              <w:rPr>
                <w:rFonts w:eastAsia="宋体"/>
                <w:kern w:val="0"/>
                <w:sz w:val="21"/>
                <w:szCs w:val="21"/>
              </w:rPr>
            </w:pPr>
          </w:p>
        </w:tc>
        <w:tc>
          <w:tcPr>
            <w:tcW w:w="1815" w:type="dxa"/>
            <w:vAlign w:val="center"/>
          </w:tcPr>
          <w:p>
            <w:pPr>
              <w:widowControl/>
              <w:snapToGrid w:val="0"/>
              <w:spacing w:line="640" w:lineRule="exact"/>
              <w:jc w:val="center"/>
              <w:rPr>
                <w:rFonts w:hint="default" w:eastAsia="宋体"/>
                <w:kern w:val="0"/>
                <w:sz w:val="21"/>
                <w:szCs w:val="21"/>
                <w:lang w:val="en-US" w:eastAsia="zh-CN"/>
              </w:rPr>
            </w:pPr>
            <w:r>
              <w:rPr>
                <w:rFonts w:hint="eastAsia" w:eastAsia="宋体"/>
                <w:kern w:val="0"/>
                <w:sz w:val="21"/>
                <w:szCs w:val="21"/>
                <w:lang w:val="en-US" w:eastAsia="zh-CN"/>
              </w:rPr>
              <w:t>成长性</w:t>
            </w:r>
          </w:p>
        </w:tc>
        <w:tc>
          <w:tcPr>
            <w:tcW w:w="865" w:type="dxa"/>
            <w:vAlign w:val="center"/>
          </w:tcPr>
          <w:p>
            <w:pPr>
              <w:widowControl/>
              <w:snapToGrid w:val="0"/>
              <w:spacing w:line="640" w:lineRule="exact"/>
              <w:jc w:val="center"/>
              <w:rPr>
                <w:rFonts w:hint="default" w:eastAsia="宋体"/>
                <w:kern w:val="0"/>
                <w:sz w:val="21"/>
                <w:szCs w:val="21"/>
                <w:lang w:val="en-US" w:eastAsia="zh-CN"/>
              </w:rPr>
            </w:pPr>
            <w:r>
              <w:rPr>
                <w:rFonts w:hint="eastAsia" w:eastAsia="宋体"/>
                <w:kern w:val="0"/>
                <w:sz w:val="21"/>
                <w:szCs w:val="21"/>
                <w:lang w:val="en-US" w:eastAsia="zh-CN"/>
              </w:rPr>
              <w:t>10</w:t>
            </w:r>
          </w:p>
        </w:tc>
        <w:tc>
          <w:tcPr>
            <w:tcW w:w="739" w:type="dxa"/>
            <w:vAlign w:val="center"/>
          </w:tcPr>
          <w:p>
            <w:pPr>
              <w:widowControl/>
              <w:spacing w:line="640" w:lineRule="exact"/>
              <w:jc w:val="center"/>
              <w:rPr>
                <w:rFonts w:hint="default" w:eastAsia="宋体"/>
                <w:kern w:val="0"/>
                <w:sz w:val="21"/>
                <w:szCs w:val="21"/>
                <w:lang w:val="en-US" w:eastAsia="zh-CN"/>
              </w:rPr>
            </w:pPr>
            <w:r>
              <w:rPr>
                <w:rFonts w:hint="eastAsia" w:eastAsia="宋体"/>
                <w:kern w:val="0"/>
                <w:sz w:val="21"/>
                <w:szCs w:val="21"/>
                <w:lang w:val="en-US" w:eastAsia="zh-CN"/>
              </w:rPr>
              <w:t>10</w:t>
            </w:r>
          </w:p>
        </w:tc>
        <w:tc>
          <w:tcPr>
            <w:tcW w:w="2411" w:type="dxa"/>
            <w:vAlign w:val="center"/>
          </w:tcPr>
          <w:p>
            <w:pPr>
              <w:widowControl/>
              <w:spacing w:line="640" w:lineRule="exact"/>
              <w:jc w:val="center"/>
              <w:rPr>
                <w:rFonts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restart"/>
            <w:vAlign w:val="center"/>
          </w:tcPr>
          <w:p>
            <w:pPr>
              <w:snapToGrid w:val="0"/>
              <w:spacing w:line="640" w:lineRule="exact"/>
              <w:jc w:val="center"/>
              <w:rPr>
                <w:rFonts w:eastAsia="宋体"/>
                <w:kern w:val="0"/>
                <w:sz w:val="21"/>
                <w:szCs w:val="21"/>
              </w:rPr>
            </w:pPr>
            <w:r>
              <w:rPr>
                <w:rFonts w:hint="eastAsia" w:eastAsia="宋体"/>
                <w:kern w:val="0"/>
                <w:sz w:val="21"/>
                <w:szCs w:val="21"/>
                <w:lang w:val="en-US" w:eastAsia="zh-CN"/>
              </w:rPr>
              <w:t>特性指标（50/50分）</w:t>
            </w:r>
          </w:p>
        </w:tc>
        <w:tc>
          <w:tcPr>
            <w:tcW w:w="1404" w:type="dxa"/>
            <w:vMerge w:val="restart"/>
            <w:vAlign w:val="center"/>
          </w:tcPr>
          <w:p>
            <w:pPr>
              <w:snapToGrid w:val="0"/>
              <w:spacing w:line="640" w:lineRule="exact"/>
              <w:jc w:val="center"/>
              <w:rPr>
                <w:rFonts w:eastAsia="宋体"/>
                <w:kern w:val="0"/>
                <w:sz w:val="21"/>
                <w:szCs w:val="21"/>
              </w:rPr>
            </w:pPr>
            <w:r>
              <w:rPr>
                <w:rFonts w:eastAsia="宋体"/>
                <w:kern w:val="0"/>
                <w:sz w:val="21"/>
                <w:szCs w:val="21"/>
              </w:rPr>
              <w:t>经济效益</w:t>
            </w:r>
            <w:r>
              <w:rPr>
                <w:rFonts w:hint="eastAsia" w:eastAsia="宋体"/>
                <w:kern w:val="0"/>
                <w:sz w:val="21"/>
                <w:szCs w:val="21"/>
                <w:lang w:val="en-US" w:eastAsia="zh-CN"/>
              </w:rPr>
              <w:t>（20/20分）</w:t>
            </w:r>
          </w:p>
        </w:tc>
        <w:tc>
          <w:tcPr>
            <w:tcW w:w="1815" w:type="dxa"/>
            <w:vAlign w:val="center"/>
          </w:tcPr>
          <w:p>
            <w:pPr>
              <w:widowControl/>
              <w:snapToGrid w:val="0"/>
              <w:spacing w:line="640" w:lineRule="exact"/>
              <w:jc w:val="center"/>
              <w:rPr>
                <w:rFonts w:hint="default" w:eastAsia="宋体"/>
                <w:kern w:val="0"/>
                <w:sz w:val="21"/>
                <w:szCs w:val="21"/>
                <w:lang w:val="en-US" w:eastAsia="zh-CN"/>
              </w:rPr>
            </w:pPr>
            <w:r>
              <w:rPr>
                <w:rFonts w:eastAsia="宋体"/>
                <w:kern w:val="0"/>
                <w:sz w:val="21"/>
                <w:szCs w:val="21"/>
              </w:rPr>
              <w:t>利税增长率</w:t>
            </w:r>
          </w:p>
        </w:tc>
        <w:tc>
          <w:tcPr>
            <w:tcW w:w="865" w:type="dxa"/>
            <w:vAlign w:val="center"/>
          </w:tcPr>
          <w:p>
            <w:pPr>
              <w:widowControl/>
              <w:snapToGrid w:val="0"/>
              <w:spacing w:line="640" w:lineRule="exact"/>
              <w:jc w:val="center"/>
              <w:rPr>
                <w:rFonts w:eastAsia="宋体"/>
                <w:kern w:val="0"/>
                <w:sz w:val="21"/>
                <w:szCs w:val="21"/>
              </w:rPr>
            </w:pPr>
            <w:r>
              <w:rPr>
                <w:rFonts w:eastAsia="宋体"/>
                <w:kern w:val="0"/>
                <w:sz w:val="21"/>
                <w:szCs w:val="21"/>
              </w:rPr>
              <w:t>10</w:t>
            </w:r>
          </w:p>
        </w:tc>
        <w:tc>
          <w:tcPr>
            <w:tcW w:w="739" w:type="dxa"/>
            <w:vAlign w:val="center"/>
          </w:tcPr>
          <w:p>
            <w:pPr>
              <w:widowControl/>
              <w:spacing w:line="640" w:lineRule="exact"/>
              <w:jc w:val="center"/>
              <w:rPr>
                <w:rFonts w:eastAsia="宋体"/>
                <w:kern w:val="0"/>
                <w:sz w:val="21"/>
                <w:szCs w:val="21"/>
              </w:rPr>
            </w:pPr>
            <w:r>
              <w:rPr>
                <w:rFonts w:eastAsia="宋体"/>
                <w:kern w:val="0"/>
                <w:sz w:val="21"/>
                <w:szCs w:val="21"/>
              </w:rPr>
              <w:t>9.</w:t>
            </w:r>
            <w:r>
              <w:rPr>
                <w:rFonts w:hint="eastAsia" w:eastAsia="宋体"/>
                <w:kern w:val="0"/>
                <w:sz w:val="21"/>
                <w:szCs w:val="21"/>
              </w:rPr>
              <w:t>6</w:t>
            </w:r>
          </w:p>
        </w:tc>
        <w:tc>
          <w:tcPr>
            <w:tcW w:w="2411" w:type="dxa"/>
            <w:vAlign w:val="center"/>
          </w:tcPr>
          <w:p>
            <w:pPr>
              <w:widowControl/>
              <w:spacing w:line="640" w:lineRule="exact"/>
              <w:jc w:val="center"/>
              <w:rPr>
                <w:rFonts w:hint="default" w:eastAsia="宋体"/>
                <w:kern w:val="0"/>
                <w:sz w:val="21"/>
                <w:szCs w:val="21"/>
                <w:lang w:val="en-US" w:eastAsia="zh-CN"/>
              </w:rPr>
            </w:pPr>
            <w:r>
              <w:rPr>
                <w:rFonts w:hint="eastAsia" w:eastAsia="宋体"/>
                <w:kern w:val="0"/>
                <w:sz w:val="21"/>
                <w:szCs w:val="21"/>
                <w:lang w:val="en-US" w:eastAsia="zh-CN"/>
              </w:rPr>
              <w:t>储备能力需进一步增强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Pr>
          <w:p>
            <w:pPr>
              <w:snapToGrid w:val="0"/>
              <w:spacing w:line="640" w:lineRule="exact"/>
              <w:rPr>
                <w:rFonts w:eastAsia="宋体"/>
                <w:kern w:val="0"/>
                <w:sz w:val="21"/>
                <w:szCs w:val="21"/>
              </w:rPr>
            </w:pPr>
          </w:p>
        </w:tc>
        <w:tc>
          <w:tcPr>
            <w:tcW w:w="1404" w:type="dxa"/>
            <w:vMerge w:val="continue"/>
          </w:tcPr>
          <w:p>
            <w:pPr>
              <w:snapToGrid w:val="0"/>
              <w:spacing w:line="640" w:lineRule="exact"/>
              <w:rPr>
                <w:rFonts w:eastAsia="宋体"/>
                <w:kern w:val="0"/>
                <w:sz w:val="21"/>
                <w:szCs w:val="21"/>
              </w:rPr>
            </w:pPr>
          </w:p>
        </w:tc>
        <w:tc>
          <w:tcPr>
            <w:tcW w:w="1815" w:type="dxa"/>
            <w:vAlign w:val="center"/>
          </w:tcPr>
          <w:p>
            <w:pPr>
              <w:widowControl/>
              <w:snapToGrid w:val="0"/>
              <w:spacing w:line="640" w:lineRule="exact"/>
              <w:jc w:val="center"/>
              <w:rPr>
                <w:rFonts w:eastAsia="宋体"/>
                <w:kern w:val="0"/>
                <w:sz w:val="21"/>
                <w:szCs w:val="21"/>
              </w:rPr>
            </w:pPr>
            <w:r>
              <w:rPr>
                <w:rFonts w:hint="eastAsia" w:eastAsia="宋体"/>
                <w:kern w:val="0"/>
                <w:sz w:val="21"/>
                <w:szCs w:val="21"/>
                <w:lang w:val="en-US" w:eastAsia="zh-CN"/>
              </w:rPr>
              <w:t>投资回报率</w:t>
            </w:r>
          </w:p>
        </w:tc>
        <w:tc>
          <w:tcPr>
            <w:tcW w:w="865" w:type="dxa"/>
            <w:vAlign w:val="center"/>
          </w:tcPr>
          <w:p>
            <w:pPr>
              <w:widowControl/>
              <w:snapToGrid w:val="0"/>
              <w:spacing w:line="640" w:lineRule="exact"/>
              <w:jc w:val="center"/>
              <w:rPr>
                <w:rFonts w:eastAsia="宋体"/>
                <w:kern w:val="0"/>
                <w:sz w:val="21"/>
                <w:szCs w:val="21"/>
              </w:rPr>
            </w:pPr>
            <w:r>
              <w:rPr>
                <w:rFonts w:eastAsia="宋体"/>
                <w:kern w:val="0"/>
                <w:sz w:val="21"/>
                <w:szCs w:val="21"/>
              </w:rPr>
              <w:t>10</w:t>
            </w:r>
          </w:p>
        </w:tc>
        <w:tc>
          <w:tcPr>
            <w:tcW w:w="739" w:type="dxa"/>
            <w:vAlign w:val="center"/>
          </w:tcPr>
          <w:p>
            <w:pPr>
              <w:widowControl/>
              <w:spacing w:line="640" w:lineRule="exact"/>
              <w:jc w:val="center"/>
              <w:rPr>
                <w:rFonts w:hint="default" w:eastAsia="宋体"/>
                <w:kern w:val="0"/>
                <w:sz w:val="21"/>
                <w:szCs w:val="21"/>
                <w:lang w:val="en-US" w:eastAsia="zh-CN"/>
              </w:rPr>
            </w:pPr>
            <w:r>
              <w:rPr>
                <w:rFonts w:eastAsia="宋体"/>
                <w:kern w:val="0"/>
                <w:sz w:val="21"/>
                <w:szCs w:val="21"/>
              </w:rPr>
              <w:t>9</w:t>
            </w:r>
            <w:r>
              <w:rPr>
                <w:rFonts w:hint="eastAsia" w:eastAsia="宋体"/>
                <w:kern w:val="0"/>
                <w:sz w:val="21"/>
                <w:szCs w:val="21"/>
                <w:lang w:val="en-US" w:eastAsia="zh-CN"/>
              </w:rPr>
              <w:t>.5</w:t>
            </w:r>
          </w:p>
        </w:tc>
        <w:tc>
          <w:tcPr>
            <w:tcW w:w="2411" w:type="dxa"/>
            <w:vAlign w:val="center"/>
          </w:tcPr>
          <w:p>
            <w:pPr>
              <w:widowControl/>
              <w:spacing w:line="640" w:lineRule="exact"/>
              <w:jc w:val="center"/>
              <w:rPr>
                <w:rFonts w:hint="default" w:eastAsia="宋体"/>
                <w:kern w:val="0"/>
                <w:sz w:val="21"/>
                <w:szCs w:val="21"/>
                <w:lang w:val="en-US" w:eastAsia="zh-CN"/>
              </w:rPr>
            </w:pPr>
            <w:r>
              <w:rPr>
                <w:rFonts w:hint="eastAsia" w:eastAsia="宋体"/>
                <w:kern w:val="0"/>
                <w:sz w:val="21"/>
                <w:szCs w:val="21"/>
                <w:lang w:val="en-US" w:eastAsia="zh-CN"/>
              </w:rPr>
              <w:t>投资成本增加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Pr>
          <w:p>
            <w:pPr>
              <w:snapToGrid w:val="0"/>
              <w:spacing w:line="640" w:lineRule="exact"/>
              <w:rPr>
                <w:rFonts w:eastAsia="宋体"/>
                <w:kern w:val="0"/>
                <w:sz w:val="21"/>
                <w:szCs w:val="21"/>
              </w:rPr>
            </w:pPr>
          </w:p>
        </w:tc>
        <w:tc>
          <w:tcPr>
            <w:tcW w:w="1404" w:type="dxa"/>
            <w:vMerge w:val="restart"/>
            <w:vAlign w:val="center"/>
          </w:tcPr>
          <w:p>
            <w:pPr>
              <w:snapToGrid w:val="0"/>
              <w:spacing w:line="640" w:lineRule="exact"/>
              <w:jc w:val="center"/>
              <w:rPr>
                <w:rFonts w:eastAsia="宋体"/>
                <w:kern w:val="0"/>
                <w:sz w:val="21"/>
                <w:szCs w:val="21"/>
              </w:rPr>
            </w:pPr>
            <w:r>
              <w:rPr>
                <w:rFonts w:eastAsia="宋体"/>
                <w:kern w:val="0"/>
                <w:sz w:val="21"/>
                <w:szCs w:val="21"/>
              </w:rPr>
              <w:t>社会效益</w:t>
            </w:r>
            <w:r>
              <w:rPr>
                <w:rFonts w:hint="eastAsia" w:eastAsia="宋体"/>
                <w:kern w:val="0"/>
                <w:sz w:val="21"/>
                <w:szCs w:val="21"/>
                <w:lang w:val="en-US" w:eastAsia="zh-CN"/>
              </w:rPr>
              <w:t>（30/30分）</w:t>
            </w:r>
          </w:p>
        </w:tc>
        <w:tc>
          <w:tcPr>
            <w:tcW w:w="1815" w:type="dxa"/>
            <w:vAlign w:val="center"/>
          </w:tcPr>
          <w:p>
            <w:pPr>
              <w:widowControl/>
              <w:snapToGrid w:val="0"/>
              <w:spacing w:line="640" w:lineRule="exact"/>
              <w:jc w:val="center"/>
              <w:rPr>
                <w:rFonts w:hint="default" w:eastAsia="宋体"/>
                <w:kern w:val="0"/>
                <w:sz w:val="21"/>
                <w:szCs w:val="21"/>
                <w:lang w:val="en-US" w:eastAsia="zh-CN"/>
              </w:rPr>
            </w:pPr>
            <w:r>
              <w:rPr>
                <w:rFonts w:hint="eastAsia" w:eastAsia="宋体"/>
                <w:kern w:val="0"/>
                <w:sz w:val="21"/>
                <w:szCs w:val="21"/>
                <w:lang w:val="en-US" w:eastAsia="zh-CN"/>
              </w:rPr>
              <w:t>就业贡献率</w:t>
            </w:r>
          </w:p>
        </w:tc>
        <w:tc>
          <w:tcPr>
            <w:tcW w:w="865" w:type="dxa"/>
            <w:vAlign w:val="center"/>
          </w:tcPr>
          <w:p>
            <w:pPr>
              <w:widowControl/>
              <w:snapToGrid w:val="0"/>
              <w:spacing w:line="640" w:lineRule="exact"/>
              <w:jc w:val="center"/>
              <w:rPr>
                <w:rFonts w:hint="default" w:eastAsia="宋体"/>
                <w:kern w:val="0"/>
                <w:sz w:val="21"/>
                <w:szCs w:val="21"/>
                <w:lang w:val="en-US" w:eastAsia="zh-CN"/>
              </w:rPr>
            </w:pPr>
            <w:r>
              <w:rPr>
                <w:rFonts w:hint="eastAsia" w:eastAsia="宋体"/>
                <w:kern w:val="0"/>
                <w:sz w:val="21"/>
                <w:szCs w:val="21"/>
                <w:lang w:val="en-US" w:eastAsia="zh-CN"/>
              </w:rPr>
              <w:t>10</w:t>
            </w:r>
          </w:p>
        </w:tc>
        <w:tc>
          <w:tcPr>
            <w:tcW w:w="739" w:type="dxa"/>
            <w:vAlign w:val="center"/>
          </w:tcPr>
          <w:p>
            <w:pPr>
              <w:widowControl/>
              <w:spacing w:line="640" w:lineRule="exact"/>
              <w:jc w:val="center"/>
              <w:rPr>
                <w:rFonts w:hint="default" w:eastAsia="宋体"/>
                <w:kern w:val="0"/>
                <w:sz w:val="21"/>
                <w:szCs w:val="21"/>
                <w:lang w:val="en-US" w:eastAsia="zh-CN"/>
              </w:rPr>
            </w:pPr>
            <w:r>
              <w:rPr>
                <w:rFonts w:hint="eastAsia" w:eastAsia="宋体"/>
                <w:kern w:val="0"/>
                <w:sz w:val="21"/>
                <w:szCs w:val="21"/>
                <w:lang w:val="en-US" w:eastAsia="zh-CN"/>
              </w:rPr>
              <w:t>10</w:t>
            </w:r>
          </w:p>
        </w:tc>
        <w:tc>
          <w:tcPr>
            <w:tcW w:w="2411" w:type="dxa"/>
            <w:vAlign w:val="center"/>
          </w:tcPr>
          <w:p>
            <w:pPr>
              <w:widowControl/>
              <w:spacing w:line="640" w:lineRule="exact"/>
              <w:jc w:val="center"/>
              <w:rPr>
                <w:rFonts w:hint="eastAsia"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7" w:type="dxa"/>
            <w:vMerge w:val="continue"/>
          </w:tcPr>
          <w:p>
            <w:pPr>
              <w:snapToGrid w:val="0"/>
              <w:spacing w:line="640" w:lineRule="exact"/>
              <w:rPr>
                <w:rFonts w:eastAsia="宋体"/>
                <w:kern w:val="0"/>
                <w:sz w:val="21"/>
                <w:szCs w:val="21"/>
              </w:rPr>
            </w:pPr>
          </w:p>
        </w:tc>
        <w:tc>
          <w:tcPr>
            <w:tcW w:w="1404" w:type="dxa"/>
            <w:vMerge w:val="continue"/>
            <w:vAlign w:val="center"/>
          </w:tcPr>
          <w:p>
            <w:pPr>
              <w:snapToGrid w:val="0"/>
              <w:spacing w:line="640" w:lineRule="exact"/>
              <w:jc w:val="center"/>
              <w:rPr>
                <w:rFonts w:eastAsia="宋体"/>
                <w:kern w:val="0"/>
                <w:sz w:val="21"/>
                <w:szCs w:val="21"/>
              </w:rPr>
            </w:pPr>
          </w:p>
        </w:tc>
        <w:tc>
          <w:tcPr>
            <w:tcW w:w="1815" w:type="dxa"/>
            <w:vAlign w:val="center"/>
          </w:tcPr>
          <w:p>
            <w:pPr>
              <w:widowControl/>
              <w:snapToGrid w:val="0"/>
              <w:spacing w:line="640" w:lineRule="exact"/>
              <w:jc w:val="center"/>
              <w:rPr>
                <w:rFonts w:hint="default" w:eastAsia="宋体"/>
                <w:kern w:val="0"/>
                <w:sz w:val="21"/>
                <w:szCs w:val="21"/>
                <w:lang w:val="en-US" w:eastAsia="zh-CN"/>
              </w:rPr>
            </w:pPr>
            <w:r>
              <w:rPr>
                <w:rFonts w:hint="eastAsia" w:eastAsia="宋体"/>
                <w:kern w:val="0"/>
                <w:sz w:val="21"/>
                <w:szCs w:val="21"/>
                <w:lang w:val="en-US" w:eastAsia="zh-CN"/>
              </w:rPr>
              <w:t>社会贡献率</w:t>
            </w:r>
          </w:p>
        </w:tc>
        <w:tc>
          <w:tcPr>
            <w:tcW w:w="865" w:type="dxa"/>
            <w:vAlign w:val="center"/>
          </w:tcPr>
          <w:p>
            <w:pPr>
              <w:widowControl/>
              <w:snapToGrid w:val="0"/>
              <w:spacing w:line="640" w:lineRule="exact"/>
              <w:jc w:val="center"/>
              <w:rPr>
                <w:rFonts w:hint="default" w:eastAsia="宋体"/>
                <w:kern w:val="0"/>
                <w:sz w:val="21"/>
                <w:szCs w:val="21"/>
                <w:lang w:val="en-US" w:eastAsia="zh-CN"/>
              </w:rPr>
            </w:pPr>
            <w:r>
              <w:rPr>
                <w:rFonts w:hint="eastAsia" w:eastAsia="宋体"/>
                <w:kern w:val="0"/>
                <w:sz w:val="21"/>
                <w:szCs w:val="21"/>
                <w:lang w:val="en-US" w:eastAsia="zh-CN"/>
              </w:rPr>
              <w:t>10</w:t>
            </w:r>
          </w:p>
        </w:tc>
        <w:tc>
          <w:tcPr>
            <w:tcW w:w="739" w:type="dxa"/>
            <w:vAlign w:val="center"/>
          </w:tcPr>
          <w:p>
            <w:pPr>
              <w:widowControl/>
              <w:spacing w:line="640" w:lineRule="exact"/>
              <w:jc w:val="center"/>
              <w:rPr>
                <w:rFonts w:hint="default" w:eastAsia="宋体"/>
                <w:kern w:val="0"/>
                <w:sz w:val="21"/>
                <w:szCs w:val="21"/>
                <w:lang w:val="en-US" w:eastAsia="zh-CN"/>
              </w:rPr>
            </w:pPr>
            <w:r>
              <w:rPr>
                <w:rFonts w:hint="eastAsia" w:eastAsia="宋体"/>
                <w:kern w:val="0"/>
                <w:sz w:val="21"/>
                <w:szCs w:val="21"/>
                <w:lang w:val="en-US" w:eastAsia="zh-CN"/>
              </w:rPr>
              <w:t>10</w:t>
            </w:r>
          </w:p>
        </w:tc>
        <w:tc>
          <w:tcPr>
            <w:tcW w:w="2411" w:type="dxa"/>
            <w:vAlign w:val="center"/>
          </w:tcPr>
          <w:p>
            <w:pPr>
              <w:widowControl/>
              <w:spacing w:line="640" w:lineRule="exact"/>
              <w:jc w:val="center"/>
              <w:rPr>
                <w:rFonts w:hint="eastAsia"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7" w:type="dxa"/>
            <w:vMerge w:val="continue"/>
          </w:tcPr>
          <w:p>
            <w:pPr>
              <w:snapToGrid w:val="0"/>
              <w:spacing w:line="640" w:lineRule="exact"/>
              <w:rPr>
                <w:rFonts w:eastAsia="宋体"/>
                <w:kern w:val="0"/>
                <w:sz w:val="21"/>
                <w:szCs w:val="21"/>
              </w:rPr>
            </w:pPr>
          </w:p>
        </w:tc>
        <w:tc>
          <w:tcPr>
            <w:tcW w:w="1404" w:type="dxa"/>
            <w:vMerge w:val="continue"/>
            <w:vAlign w:val="center"/>
          </w:tcPr>
          <w:p>
            <w:pPr>
              <w:snapToGrid w:val="0"/>
              <w:spacing w:line="640" w:lineRule="exact"/>
              <w:jc w:val="center"/>
              <w:rPr>
                <w:rFonts w:eastAsia="宋体"/>
                <w:kern w:val="0"/>
                <w:sz w:val="21"/>
                <w:szCs w:val="21"/>
              </w:rPr>
            </w:pPr>
          </w:p>
        </w:tc>
        <w:tc>
          <w:tcPr>
            <w:tcW w:w="1815" w:type="dxa"/>
            <w:vAlign w:val="center"/>
          </w:tcPr>
          <w:p>
            <w:pPr>
              <w:widowControl/>
              <w:snapToGrid w:val="0"/>
              <w:spacing w:line="640" w:lineRule="exact"/>
              <w:jc w:val="center"/>
              <w:rPr>
                <w:rFonts w:eastAsia="宋体"/>
                <w:kern w:val="0"/>
                <w:sz w:val="21"/>
                <w:szCs w:val="21"/>
              </w:rPr>
            </w:pPr>
            <w:r>
              <w:rPr>
                <w:rFonts w:hint="eastAsia" w:eastAsia="宋体"/>
                <w:kern w:val="0"/>
                <w:sz w:val="21"/>
                <w:szCs w:val="21"/>
              </w:rPr>
              <w:t>对省内纺织工业发展的促进作用</w:t>
            </w:r>
          </w:p>
        </w:tc>
        <w:tc>
          <w:tcPr>
            <w:tcW w:w="865" w:type="dxa"/>
            <w:vAlign w:val="center"/>
          </w:tcPr>
          <w:p>
            <w:pPr>
              <w:widowControl/>
              <w:snapToGrid w:val="0"/>
              <w:spacing w:line="640" w:lineRule="exact"/>
              <w:jc w:val="center"/>
              <w:rPr>
                <w:rFonts w:eastAsia="宋体"/>
                <w:kern w:val="0"/>
                <w:sz w:val="21"/>
                <w:szCs w:val="21"/>
              </w:rPr>
            </w:pPr>
            <w:r>
              <w:rPr>
                <w:rFonts w:eastAsia="宋体"/>
                <w:kern w:val="0"/>
                <w:sz w:val="21"/>
                <w:szCs w:val="21"/>
              </w:rPr>
              <w:t>10</w:t>
            </w:r>
          </w:p>
        </w:tc>
        <w:tc>
          <w:tcPr>
            <w:tcW w:w="739" w:type="dxa"/>
            <w:vAlign w:val="center"/>
          </w:tcPr>
          <w:p>
            <w:pPr>
              <w:widowControl/>
              <w:spacing w:line="640" w:lineRule="exact"/>
              <w:jc w:val="center"/>
              <w:rPr>
                <w:rFonts w:hint="default" w:eastAsia="宋体"/>
                <w:kern w:val="0"/>
                <w:sz w:val="21"/>
                <w:szCs w:val="21"/>
                <w:lang w:val="en-US" w:eastAsia="zh-CN"/>
              </w:rPr>
            </w:pPr>
            <w:r>
              <w:rPr>
                <w:rFonts w:hint="eastAsia" w:eastAsia="宋体"/>
                <w:kern w:val="0"/>
                <w:sz w:val="21"/>
                <w:szCs w:val="21"/>
                <w:lang w:val="en-US" w:eastAsia="zh-CN"/>
              </w:rPr>
              <w:t>9.9</w:t>
            </w:r>
          </w:p>
        </w:tc>
        <w:tc>
          <w:tcPr>
            <w:tcW w:w="2411" w:type="dxa"/>
            <w:vAlign w:val="center"/>
          </w:tcPr>
          <w:p>
            <w:pPr>
              <w:widowControl/>
              <w:spacing w:line="640" w:lineRule="exact"/>
              <w:jc w:val="center"/>
              <w:rPr>
                <w:rFonts w:hint="default" w:eastAsia="宋体"/>
                <w:kern w:val="0"/>
                <w:sz w:val="21"/>
                <w:szCs w:val="21"/>
                <w:lang w:val="en-US" w:eastAsia="zh-CN"/>
              </w:rPr>
            </w:pPr>
            <w:r>
              <w:rPr>
                <w:rFonts w:hint="eastAsia" w:eastAsia="宋体"/>
                <w:kern w:val="0"/>
                <w:sz w:val="21"/>
                <w:szCs w:val="21"/>
                <w:lang w:val="en-US" w:eastAsia="zh-CN"/>
              </w:rPr>
              <w:t>公司资源规模控制较弱，还需进一步增强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546" w:type="dxa"/>
            <w:gridSpan w:val="3"/>
            <w:vAlign w:val="center"/>
          </w:tcPr>
          <w:p>
            <w:pPr>
              <w:widowControl/>
              <w:snapToGrid w:val="0"/>
              <w:spacing w:line="640" w:lineRule="exact"/>
              <w:jc w:val="center"/>
              <w:rPr>
                <w:rFonts w:eastAsia="宋体"/>
                <w:b/>
                <w:kern w:val="0"/>
                <w:sz w:val="21"/>
                <w:szCs w:val="21"/>
              </w:rPr>
            </w:pPr>
            <w:r>
              <w:rPr>
                <w:rFonts w:eastAsia="宋体"/>
                <w:b/>
                <w:kern w:val="0"/>
                <w:sz w:val="21"/>
                <w:szCs w:val="21"/>
              </w:rPr>
              <w:t>总</w:t>
            </w:r>
            <w:r>
              <w:rPr>
                <w:rFonts w:hint="eastAsia" w:eastAsia="宋体"/>
                <w:b/>
                <w:kern w:val="0"/>
                <w:sz w:val="21"/>
                <w:szCs w:val="21"/>
              </w:rPr>
              <w:t xml:space="preserve">  </w:t>
            </w:r>
            <w:r>
              <w:rPr>
                <w:rFonts w:eastAsia="宋体"/>
                <w:b/>
                <w:kern w:val="0"/>
                <w:sz w:val="21"/>
                <w:szCs w:val="21"/>
              </w:rPr>
              <w:t>分</w:t>
            </w:r>
          </w:p>
        </w:tc>
        <w:tc>
          <w:tcPr>
            <w:tcW w:w="865" w:type="dxa"/>
            <w:vAlign w:val="center"/>
          </w:tcPr>
          <w:p>
            <w:pPr>
              <w:widowControl/>
              <w:spacing w:line="640" w:lineRule="exact"/>
              <w:jc w:val="center"/>
              <w:rPr>
                <w:rFonts w:eastAsia="宋体"/>
                <w:b/>
                <w:kern w:val="0"/>
                <w:sz w:val="21"/>
                <w:szCs w:val="21"/>
              </w:rPr>
            </w:pPr>
            <w:r>
              <w:rPr>
                <w:rFonts w:eastAsia="宋体"/>
                <w:b/>
                <w:kern w:val="0"/>
                <w:sz w:val="21"/>
                <w:szCs w:val="21"/>
              </w:rPr>
              <w:t>100</w:t>
            </w:r>
          </w:p>
        </w:tc>
        <w:tc>
          <w:tcPr>
            <w:tcW w:w="739" w:type="dxa"/>
            <w:vAlign w:val="center"/>
          </w:tcPr>
          <w:p>
            <w:pPr>
              <w:widowControl/>
              <w:spacing w:line="640" w:lineRule="exact"/>
              <w:jc w:val="center"/>
              <w:rPr>
                <w:rFonts w:eastAsia="宋体"/>
                <w:b/>
                <w:kern w:val="0"/>
                <w:sz w:val="21"/>
                <w:szCs w:val="21"/>
              </w:rPr>
            </w:pPr>
            <w:r>
              <w:rPr>
                <w:rFonts w:eastAsia="宋体"/>
                <w:b/>
                <w:kern w:val="0"/>
                <w:sz w:val="21"/>
                <w:szCs w:val="21"/>
              </w:rPr>
              <w:t>9</w:t>
            </w:r>
            <w:r>
              <w:rPr>
                <w:rFonts w:hint="eastAsia" w:eastAsia="宋体"/>
                <w:b/>
                <w:kern w:val="0"/>
                <w:sz w:val="21"/>
                <w:szCs w:val="21"/>
              </w:rPr>
              <w:t>9.</w:t>
            </w:r>
            <w:r>
              <w:rPr>
                <w:rFonts w:eastAsia="宋体"/>
                <w:b/>
                <w:kern w:val="0"/>
                <w:sz w:val="21"/>
                <w:szCs w:val="21"/>
              </w:rPr>
              <w:t>0</w:t>
            </w:r>
            <w:r>
              <w:rPr>
                <w:rFonts w:eastAsia="宋体"/>
                <w:b/>
                <w:kern w:val="0"/>
                <w:sz w:val="21"/>
                <w:szCs w:val="21"/>
              </w:rPr>
              <w:fldChar w:fldCharType="begin"/>
            </w:r>
            <w:r>
              <w:rPr>
                <w:rFonts w:eastAsia="宋体"/>
                <w:b/>
                <w:kern w:val="0"/>
                <w:sz w:val="21"/>
                <w:szCs w:val="21"/>
              </w:rPr>
              <w:instrText xml:space="preserve"> =SUM(ABOVE) </w:instrText>
            </w:r>
            <w:r>
              <w:rPr>
                <w:rFonts w:eastAsia="宋体"/>
                <w:b/>
                <w:kern w:val="0"/>
                <w:sz w:val="21"/>
                <w:szCs w:val="21"/>
              </w:rPr>
              <w:fldChar w:fldCharType="end"/>
            </w:r>
          </w:p>
        </w:tc>
        <w:tc>
          <w:tcPr>
            <w:tcW w:w="2411" w:type="dxa"/>
            <w:vAlign w:val="center"/>
          </w:tcPr>
          <w:p>
            <w:pPr>
              <w:widowControl/>
              <w:spacing w:line="640" w:lineRule="exact"/>
              <w:jc w:val="center"/>
              <w:rPr>
                <w:rFonts w:eastAsia="宋体"/>
                <w:b/>
                <w:kern w:val="0"/>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z w:val="32"/>
          <w:szCs w:val="32"/>
        </w:rPr>
      </w:pPr>
      <w:r>
        <w:rPr>
          <w:rFonts w:hint="eastAsia" w:ascii="黑体" w:hAnsi="黑体" w:eastAsia="黑体" w:cs="黑体"/>
          <w:bCs/>
          <w:sz w:val="32"/>
          <w:szCs w:val="32"/>
        </w:rPr>
        <w:t>四、绩效评价分析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方正楷体_GBK" w:hAnsi="方正楷体_GBK" w:eastAsia="方正楷体_GBK" w:cs="方正楷体_GBK"/>
          <w:b/>
          <w:bCs w:val="0"/>
          <w:sz w:val="32"/>
          <w:szCs w:val="32"/>
        </w:rPr>
      </w:pPr>
      <w:r>
        <w:rPr>
          <w:rFonts w:hint="eastAsia" w:ascii="方正楷体_GBK" w:hAnsi="方正楷体_GBK" w:eastAsia="方正楷体_GBK" w:cs="方正楷体_GBK"/>
          <w:b/>
          <w:bCs w:val="0"/>
          <w:sz w:val="32"/>
          <w:szCs w:val="32"/>
        </w:rPr>
        <w:t>（一）决策依据情况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1.《国务院关于深化棉花流通体制改革的决定》（国发〔1998〕42号）“国务院继续委托供销合作总社承担国家储备棉管理任务，负责具体组织储备棉的购进、抛售、调运、轮换”；</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2.《国务院关于加快供销合作社改革发展的若干意见》（国发〔2009〕40号）“支持供销合作社在棉花主产区和主销区建设仓储物流设施，符合条件的企业可以接受政府委托，承担国家棉花储备、进出口等任务”；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3.《四川省人民政府关于加快供销合作社改革发展的实施意见》（川府发〔2010〕20号）“支持供销合作社建设棉花仓储物流设施，承担国家和省级棉花储备、进出口等任务”；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国家发展改革委等部委联合印发的《关于发挥骨干企业积极作用健全和完善政府对大宗农产品市场调控体系和机制的通知》（发改经贸〔2010〕1610号）“从确定的骨干企业中优选部分企业……专项承担粮食、食用植物油、棉花、食糖和猪肉的收购、加工、储运、进口、销售和应急供应等特定调控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5.《四川省健全和完善政府对大宗农产品市场调控体系和机制工作方案》；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6.《中共中央国务院关于深化供销合作社综合改革的决定》(中发〔201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〕11号）“支持社有企业承担化肥、农药等国家储备任务”；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7.《中共四川省委、四川省人民政府关于深化供销合作社综合改革的意见》（川委发〔2016〕22号）“支持社有企业承担化肥、农药、棉花等国家和地方储备任务”；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8.四川省棉麻集团有限公司已纳入省商务厅“应急保供重点联系企业”；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9.四川省供销合作社联合社《关于确定2018—2020年省级棉花储备承储企业的通知》文件精神，四川省棉麻集团有限公司被确定为省级棉花储备承储企业。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该项目政策依据充分，决策程序明确。</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sz w:val="32"/>
          <w:szCs w:val="32"/>
        </w:rPr>
      </w:pPr>
      <w:r>
        <w:rPr>
          <w:rFonts w:hint="eastAsia" w:ascii="方正楷体_GBK" w:hAnsi="方正楷体_GBK" w:eastAsia="方正楷体_GBK" w:cs="方正楷体_GBK"/>
          <w:b/>
          <w:sz w:val="32"/>
          <w:szCs w:val="32"/>
        </w:rPr>
        <w:t>（二）项目管理情况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1.项目资金及财务管理情况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根据现场评价情况，四川省棉麻集团有限公司按照国家相关规定进行会计核算和资金管理。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2.项目组织实施情况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项目管理，四川省棉麻集团有限公司制定了《省级滚动储备棉管理办法》，成立了以董事长为组长的领导管理小组，成员包括棉花资源基地、储备中心、棉花调销部门等，办法对存储、轮入轮出、质量、安全、应急供应等方方面面进行了规定；为了解项目实施建设和投入情况，四川省棉麻集团有限公司财务统计部、监事审计部、综合管理部、物业安全部等部门多次开展联合检查。</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（三）项目产出情况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四川省棉麻集团有限公司2020年7月1日—2021年6月30日棉花年经营量96040吨，平均库存为6583吨，占用资金利息409.57万元，保质保量地完成相应的储备任务，并按时按需地实施了轮出、轮入。</w:t>
      </w:r>
    </w:p>
    <w:p>
      <w:pPr>
        <w:spacing w:line="640" w:lineRule="exact"/>
        <w:jc w:val="center"/>
        <w:rPr>
          <w:rFonts w:hint="eastAsia" w:ascii="方正小标宋_GBK" w:hAnsi="方正小标宋_GBK" w:eastAsia="方正小标宋_GBK" w:cs="方正小标宋_GBK"/>
          <w:b w:val="0"/>
          <w:bCs/>
          <w:sz w:val="30"/>
          <w:szCs w:val="30"/>
        </w:rPr>
      </w:pPr>
      <w:r>
        <w:rPr>
          <w:rFonts w:hint="eastAsia" w:ascii="方正小标宋_GBK" w:hAnsi="方正小标宋_GBK" w:eastAsia="方正小标宋_GBK" w:cs="方正小标宋_GBK"/>
          <w:b w:val="0"/>
          <w:bCs/>
          <w:sz w:val="30"/>
          <w:szCs w:val="30"/>
        </w:rPr>
        <w:t>省级棉花储备情况表</w:t>
      </w:r>
    </w:p>
    <w:tbl>
      <w:tblPr>
        <w:tblStyle w:val="14"/>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799"/>
        <w:gridCol w:w="438"/>
        <w:gridCol w:w="1470"/>
        <w:gridCol w:w="2280"/>
        <w:gridCol w:w="1932"/>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72" w:type="dxa"/>
            <w:vAlign w:val="center"/>
          </w:tcPr>
          <w:p>
            <w:pPr>
              <w:spacing w:line="240" w:lineRule="atLeast"/>
              <w:jc w:val="center"/>
              <w:rPr>
                <w:rFonts w:ascii="仿宋" w:hAnsi="仿宋" w:eastAsia="仿宋"/>
                <w:b/>
                <w:kern w:val="0"/>
                <w:sz w:val="28"/>
                <w:szCs w:val="24"/>
              </w:rPr>
            </w:pPr>
            <w:r>
              <w:rPr>
                <w:rFonts w:hint="eastAsia" w:ascii="仿宋" w:hAnsi="仿宋" w:eastAsia="仿宋"/>
                <w:b/>
                <w:kern w:val="0"/>
                <w:sz w:val="28"/>
                <w:szCs w:val="24"/>
              </w:rPr>
              <w:t>年</w:t>
            </w:r>
          </w:p>
        </w:tc>
        <w:tc>
          <w:tcPr>
            <w:tcW w:w="799" w:type="dxa"/>
            <w:vAlign w:val="center"/>
          </w:tcPr>
          <w:p>
            <w:pPr>
              <w:spacing w:line="240" w:lineRule="atLeast"/>
              <w:jc w:val="center"/>
              <w:rPr>
                <w:rFonts w:ascii="仿宋" w:hAnsi="仿宋" w:eastAsia="仿宋"/>
                <w:b/>
                <w:kern w:val="0"/>
                <w:sz w:val="28"/>
                <w:szCs w:val="24"/>
              </w:rPr>
            </w:pPr>
            <w:r>
              <w:rPr>
                <w:rFonts w:hint="eastAsia" w:ascii="仿宋" w:hAnsi="仿宋" w:eastAsia="仿宋"/>
                <w:b/>
                <w:kern w:val="0"/>
                <w:sz w:val="28"/>
                <w:szCs w:val="24"/>
              </w:rPr>
              <w:t>月</w:t>
            </w:r>
          </w:p>
        </w:tc>
        <w:tc>
          <w:tcPr>
            <w:tcW w:w="1908" w:type="dxa"/>
            <w:gridSpan w:val="2"/>
            <w:vAlign w:val="center"/>
          </w:tcPr>
          <w:p>
            <w:pPr>
              <w:spacing w:line="240" w:lineRule="atLeast"/>
              <w:jc w:val="center"/>
              <w:rPr>
                <w:rFonts w:ascii="仿宋" w:hAnsi="仿宋" w:eastAsia="仿宋"/>
                <w:b/>
                <w:kern w:val="0"/>
                <w:sz w:val="24"/>
                <w:szCs w:val="24"/>
              </w:rPr>
            </w:pPr>
            <w:r>
              <w:rPr>
                <w:rFonts w:hint="eastAsia" w:ascii="仿宋" w:hAnsi="仿宋" w:eastAsia="仿宋"/>
                <w:b/>
                <w:kern w:val="0"/>
                <w:sz w:val="24"/>
                <w:szCs w:val="24"/>
              </w:rPr>
              <w:t>账面库存（吨）</w:t>
            </w:r>
          </w:p>
        </w:tc>
        <w:tc>
          <w:tcPr>
            <w:tcW w:w="2280" w:type="dxa"/>
            <w:vAlign w:val="center"/>
          </w:tcPr>
          <w:p>
            <w:pPr>
              <w:spacing w:line="240" w:lineRule="atLeast"/>
              <w:jc w:val="center"/>
              <w:rPr>
                <w:rFonts w:ascii="仿宋" w:hAnsi="仿宋" w:eastAsia="仿宋"/>
                <w:b/>
                <w:kern w:val="0"/>
                <w:sz w:val="24"/>
                <w:szCs w:val="24"/>
              </w:rPr>
            </w:pPr>
            <w:r>
              <w:rPr>
                <w:rFonts w:hint="eastAsia" w:ascii="仿宋" w:hAnsi="仿宋" w:eastAsia="仿宋"/>
                <w:b/>
                <w:kern w:val="0"/>
                <w:sz w:val="24"/>
                <w:szCs w:val="24"/>
              </w:rPr>
              <w:t>占用资金（万元）</w:t>
            </w:r>
          </w:p>
        </w:tc>
        <w:tc>
          <w:tcPr>
            <w:tcW w:w="1932" w:type="dxa"/>
            <w:vAlign w:val="center"/>
          </w:tcPr>
          <w:p>
            <w:pPr>
              <w:spacing w:line="240" w:lineRule="atLeast"/>
              <w:jc w:val="center"/>
              <w:rPr>
                <w:rFonts w:ascii="仿宋" w:hAnsi="仿宋" w:eastAsia="仿宋"/>
                <w:b/>
                <w:kern w:val="0"/>
                <w:sz w:val="24"/>
                <w:szCs w:val="24"/>
              </w:rPr>
            </w:pPr>
            <w:r>
              <w:rPr>
                <w:rFonts w:hint="eastAsia" w:ascii="仿宋" w:hAnsi="仿宋" w:eastAsia="仿宋"/>
                <w:b/>
                <w:kern w:val="0"/>
                <w:sz w:val="24"/>
                <w:szCs w:val="24"/>
              </w:rPr>
              <w:t>资金利息（元）</w:t>
            </w:r>
          </w:p>
        </w:tc>
        <w:tc>
          <w:tcPr>
            <w:tcW w:w="1859" w:type="dxa"/>
            <w:vAlign w:val="center"/>
          </w:tcPr>
          <w:p>
            <w:pPr>
              <w:spacing w:line="240" w:lineRule="atLeast"/>
              <w:jc w:val="center"/>
              <w:rPr>
                <w:rFonts w:ascii="仿宋" w:hAnsi="仿宋" w:eastAsia="仿宋"/>
                <w:b/>
                <w:kern w:val="0"/>
                <w:sz w:val="24"/>
                <w:szCs w:val="24"/>
              </w:rPr>
            </w:pPr>
            <w:r>
              <w:rPr>
                <w:rFonts w:hint="eastAsia" w:ascii="仿宋" w:hAnsi="仿宋" w:eastAsia="仿宋"/>
                <w:b/>
                <w:kern w:val="0"/>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Merge w:val="restart"/>
            <w:vAlign w:val="center"/>
          </w:tcPr>
          <w:p>
            <w:pPr>
              <w:spacing w:line="640" w:lineRule="exact"/>
              <w:jc w:val="center"/>
              <w:rPr>
                <w:rFonts w:ascii="仿宋" w:hAnsi="仿宋" w:eastAsia="仿宋"/>
                <w:kern w:val="0"/>
                <w:sz w:val="24"/>
                <w:szCs w:val="24"/>
              </w:rPr>
            </w:pPr>
            <w:r>
              <w:rPr>
                <w:rFonts w:hint="eastAsia" w:ascii="仿宋" w:hAnsi="仿宋" w:eastAsia="仿宋"/>
                <w:kern w:val="0"/>
                <w:sz w:val="24"/>
                <w:szCs w:val="24"/>
              </w:rPr>
              <w:t>20</w:t>
            </w:r>
            <w:r>
              <w:rPr>
                <w:rFonts w:ascii="仿宋" w:hAnsi="仿宋" w:eastAsia="仿宋"/>
                <w:kern w:val="0"/>
                <w:sz w:val="24"/>
                <w:szCs w:val="24"/>
              </w:rPr>
              <w:t>20</w:t>
            </w:r>
          </w:p>
        </w:tc>
        <w:tc>
          <w:tcPr>
            <w:tcW w:w="799" w:type="dxa"/>
            <w:vAlign w:val="center"/>
          </w:tcPr>
          <w:p>
            <w:pPr>
              <w:spacing w:line="640" w:lineRule="exact"/>
              <w:jc w:val="center"/>
              <w:rPr>
                <w:rFonts w:ascii="仿宋" w:hAnsi="仿宋" w:eastAsia="仿宋"/>
                <w:kern w:val="0"/>
                <w:sz w:val="24"/>
                <w:szCs w:val="24"/>
              </w:rPr>
            </w:pPr>
            <w:r>
              <w:rPr>
                <w:rFonts w:ascii="仿宋" w:hAnsi="仿宋" w:eastAsia="仿宋"/>
                <w:kern w:val="0"/>
                <w:sz w:val="24"/>
                <w:szCs w:val="24"/>
              </w:rPr>
              <w:t>7</w:t>
            </w:r>
          </w:p>
        </w:tc>
        <w:tc>
          <w:tcPr>
            <w:tcW w:w="1908" w:type="dxa"/>
            <w:gridSpan w:val="2"/>
            <w:vAlign w:val="center"/>
          </w:tcPr>
          <w:p>
            <w:pPr>
              <w:spacing w:line="640" w:lineRule="exact"/>
              <w:jc w:val="center"/>
              <w:rPr>
                <w:rFonts w:ascii="仿宋" w:hAnsi="仿宋" w:eastAsia="仿宋"/>
                <w:kern w:val="0"/>
                <w:sz w:val="24"/>
                <w:szCs w:val="24"/>
              </w:rPr>
            </w:pPr>
            <w:r>
              <w:rPr>
                <w:rFonts w:hint="eastAsia" w:ascii="仿宋" w:hAnsi="仿宋" w:eastAsia="仿宋"/>
                <w:kern w:val="0"/>
                <w:sz w:val="24"/>
                <w:szCs w:val="24"/>
              </w:rPr>
              <w:t>7903</w:t>
            </w:r>
          </w:p>
        </w:tc>
        <w:tc>
          <w:tcPr>
            <w:tcW w:w="2280" w:type="dxa"/>
            <w:vAlign w:val="center"/>
          </w:tcPr>
          <w:p>
            <w:pPr>
              <w:spacing w:line="640" w:lineRule="exact"/>
              <w:jc w:val="center"/>
              <w:rPr>
                <w:rFonts w:ascii="仿宋" w:hAnsi="仿宋" w:eastAsia="仿宋"/>
                <w:kern w:val="0"/>
                <w:sz w:val="24"/>
                <w:szCs w:val="24"/>
              </w:rPr>
            </w:pPr>
            <w:r>
              <w:rPr>
                <w:rFonts w:hint="eastAsia" w:ascii="仿宋" w:hAnsi="仿宋" w:eastAsia="仿宋"/>
                <w:kern w:val="0"/>
                <w:sz w:val="24"/>
                <w:szCs w:val="24"/>
              </w:rPr>
              <w:t>122</w:t>
            </w:r>
            <w:r>
              <w:rPr>
                <w:rFonts w:ascii="仿宋" w:hAnsi="仿宋" w:eastAsia="仿宋"/>
                <w:kern w:val="0"/>
                <w:sz w:val="24"/>
                <w:szCs w:val="24"/>
              </w:rPr>
              <w:t>50</w:t>
            </w:r>
          </w:p>
        </w:tc>
        <w:tc>
          <w:tcPr>
            <w:tcW w:w="1932" w:type="dxa"/>
            <w:vAlign w:val="center"/>
          </w:tcPr>
          <w:p>
            <w:pPr>
              <w:spacing w:line="640" w:lineRule="exact"/>
              <w:jc w:val="center"/>
              <w:rPr>
                <w:rFonts w:ascii="仿宋" w:hAnsi="仿宋" w:eastAsia="仿宋"/>
                <w:kern w:val="0"/>
                <w:sz w:val="24"/>
                <w:szCs w:val="24"/>
              </w:rPr>
            </w:pPr>
            <w:r>
              <w:rPr>
                <w:rFonts w:ascii="仿宋" w:hAnsi="仿宋" w:eastAsia="仿宋"/>
                <w:kern w:val="0"/>
                <w:sz w:val="24"/>
                <w:szCs w:val="24"/>
              </w:rPr>
              <w:t>185233.33</w:t>
            </w:r>
          </w:p>
        </w:tc>
        <w:tc>
          <w:tcPr>
            <w:tcW w:w="1859" w:type="dxa"/>
            <w:vMerge w:val="restart"/>
          </w:tcPr>
          <w:p>
            <w:pPr>
              <w:spacing w:line="300" w:lineRule="exact"/>
              <w:rPr>
                <w:rFonts w:ascii="仿宋" w:hAnsi="仿宋" w:eastAsia="仿宋"/>
                <w:kern w:val="0"/>
                <w:sz w:val="24"/>
                <w:szCs w:val="21"/>
              </w:rPr>
            </w:pPr>
            <w:r>
              <w:rPr>
                <w:rFonts w:hint="eastAsia" w:ascii="仿宋" w:hAnsi="仿宋" w:eastAsia="仿宋"/>
                <w:kern w:val="0"/>
                <w:sz w:val="24"/>
                <w:szCs w:val="21"/>
              </w:rPr>
              <w:t>1、贷款包括流动资金贷款、票据贴现等；</w:t>
            </w:r>
          </w:p>
          <w:p>
            <w:pPr>
              <w:spacing w:line="300" w:lineRule="exact"/>
              <w:rPr>
                <w:rFonts w:ascii="仿宋" w:hAnsi="仿宋" w:eastAsia="仿宋"/>
                <w:kern w:val="0"/>
                <w:sz w:val="24"/>
                <w:szCs w:val="21"/>
              </w:rPr>
            </w:pPr>
            <w:r>
              <w:rPr>
                <w:rFonts w:hint="eastAsia" w:ascii="仿宋" w:hAnsi="仿宋" w:eastAsia="仿宋"/>
                <w:kern w:val="0"/>
                <w:sz w:val="24"/>
                <w:szCs w:val="21"/>
              </w:rPr>
              <w:t>2、利息仅为</w:t>
            </w:r>
            <w:r>
              <w:rPr>
                <w:rFonts w:ascii="仿宋" w:hAnsi="仿宋" w:eastAsia="仿宋"/>
                <w:kern w:val="0"/>
                <w:sz w:val="24"/>
                <w:szCs w:val="21"/>
              </w:rPr>
              <w:t>单个节点</w:t>
            </w:r>
            <w:r>
              <w:rPr>
                <w:rFonts w:hint="eastAsia" w:ascii="仿宋" w:hAnsi="仿宋" w:eastAsia="仿宋"/>
                <w:kern w:val="0"/>
                <w:sz w:val="24"/>
                <w:szCs w:val="21"/>
              </w:rPr>
              <w:t>资金</w:t>
            </w:r>
            <w:r>
              <w:rPr>
                <w:rFonts w:ascii="仿宋" w:hAnsi="仿宋" w:eastAsia="仿宋"/>
                <w:kern w:val="0"/>
                <w:sz w:val="24"/>
                <w:szCs w:val="21"/>
              </w:rPr>
              <w:t>占用利息，实际更高</w:t>
            </w:r>
            <w:r>
              <w:rPr>
                <w:rFonts w:hint="eastAsia" w:ascii="仿宋" w:hAnsi="仿宋" w:eastAsia="仿宋"/>
                <w:kern w:val="0"/>
                <w:sz w:val="24"/>
                <w:szCs w:val="21"/>
              </w:rPr>
              <w:t>；</w:t>
            </w:r>
          </w:p>
          <w:p>
            <w:pPr>
              <w:spacing w:line="300" w:lineRule="exact"/>
              <w:rPr>
                <w:rFonts w:ascii="仿宋" w:hAnsi="仿宋" w:eastAsia="仿宋"/>
                <w:kern w:val="0"/>
                <w:sz w:val="24"/>
                <w:szCs w:val="21"/>
              </w:rPr>
            </w:pPr>
            <w:r>
              <w:rPr>
                <w:rFonts w:hint="eastAsia" w:ascii="仿宋" w:hAnsi="仿宋" w:eastAsia="仿宋"/>
                <w:kern w:val="0"/>
                <w:sz w:val="24"/>
                <w:szCs w:val="21"/>
              </w:rPr>
              <w:t>3、棉花年经营量包括省级滚动储备、一般贸易等；</w:t>
            </w:r>
          </w:p>
          <w:p>
            <w:pPr>
              <w:spacing w:line="300" w:lineRule="exact"/>
              <w:rPr>
                <w:rFonts w:ascii="仿宋" w:hAnsi="仿宋" w:eastAsia="仿宋"/>
                <w:kern w:val="0"/>
                <w:sz w:val="24"/>
                <w:szCs w:val="21"/>
              </w:rPr>
            </w:pPr>
            <w:r>
              <w:rPr>
                <w:rFonts w:hint="eastAsia" w:ascii="仿宋" w:hAnsi="仿宋" w:eastAsia="仿宋"/>
                <w:kern w:val="0"/>
                <w:sz w:val="24"/>
                <w:szCs w:val="21"/>
              </w:rPr>
              <w:t>4、库存量仅反映部分储备量，一些储备棉在当月已完成滚动轮换储备，实际</w:t>
            </w:r>
            <w:r>
              <w:rPr>
                <w:rFonts w:ascii="仿宋" w:hAnsi="仿宋" w:eastAsia="仿宋"/>
                <w:kern w:val="0"/>
                <w:sz w:val="24"/>
                <w:szCs w:val="21"/>
              </w:rPr>
              <w:t>量应该更高</w:t>
            </w:r>
            <w:r>
              <w:rPr>
                <w:rFonts w:hint="eastAsia" w:ascii="仿宋" w:hAnsi="仿宋" w:eastAsia="仿宋"/>
                <w:kern w:val="0"/>
                <w:sz w:val="24"/>
                <w:szCs w:val="21"/>
              </w:rPr>
              <w:t>；</w:t>
            </w:r>
          </w:p>
          <w:p>
            <w:pPr>
              <w:spacing w:line="300" w:lineRule="exact"/>
              <w:rPr>
                <w:rFonts w:ascii="仿宋" w:hAnsi="仿宋" w:eastAsia="仿宋"/>
                <w:kern w:val="0"/>
                <w:sz w:val="24"/>
                <w:szCs w:val="24"/>
              </w:rPr>
            </w:pPr>
            <w:r>
              <w:rPr>
                <w:rFonts w:hint="eastAsia" w:ascii="仿宋" w:hAnsi="仿宋" w:eastAsia="仿宋"/>
                <w:kern w:val="0"/>
                <w:sz w:val="24"/>
                <w:szCs w:val="21"/>
              </w:rPr>
              <w:t>5、结合经营</w:t>
            </w:r>
            <w:r>
              <w:rPr>
                <w:rFonts w:ascii="仿宋" w:hAnsi="仿宋" w:eastAsia="仿宋"/>
                <w:kern w:val="0"/>
                <w:sz w:val="24"/>
                <w:szCs w:val="21"/>
              </w:rPr>
              <w:t>滚动需要，该项工作由</w:t>
            </w:r>
            <w:r>
              <w:rPr>
                <w:rFonts w:hint="eastAsia" w:ascii="仿宋" w:hAnsi="仿宋" w:eastAsia="仿宋"/>
                <w:kern w:val="0"/>
                <w:sz w:val="24"/>
                <w:szCs w:val="21"/>
              </w:rPr>
              <w:t>四川省棉麻集团有限公司、</w:t>
            </w:r>
            <w:r>
              <w:rPr>
                <w:rFonts w:ascii="仿宋" w:hAnsi="仿宋" w:eastAsia="仿宋"/>
                <w:kern w:val="0"/>
                <w:sz w:val="24"/>
                <w:szCs w:val="21"/>
              </w:rPr>
              <w:t>子公司新疆西部汇通棉业、乌苏康隆棉业共同执行。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Merge w:val="continue"/>
          </w:tcPr>
          <w:p>
            <w:pPr>
              <w:spacing w:line="640" w:lineRule="exact"/>
              <w:jc w:val="center"/>
              <w:rPr>
                <w:rFonts w:ascii="仿宋" w:hAnsi="仿宋" w:eastAsia="仿宋"/>
                <w:kern w:val="0"/>
                <w:sz w:val="24"/>
                <w:szCs w:val="24"/>
              </w:rPr>
            </w:pPr>
          </w:p>
        </w:tc>
        <w:tc>
          <w:tcPr>
            <w:tcW w:w="799" w:type="dxa"/>
            <w:vAlign w:val="center"/>
          </w:tcPr>
          <w:p>
            <w:pPr>
              <w:spacing w:line="640" w:lineRule="exact"/>
              <w:jc w:val="center"/>
              <w:rPr>
                <w:rFonts w:ascii="仿宋" w:hAnsi="仿宋" w:eastAsia="仿宋"/>
                <w:kern w:val="0"/>
                <w:sz w:val="24"/>
                <w:szCs w:val="24"/>
              </w:rPr>
            </w:pPr>
            <w:r>
              <w:rPr>
                <w:rFonts w:ascii="仿宋" w:hAnsi="仿宋" w:eastAsia="仿宋"/>
                <w:kern w:val="0"/>
                <w:sz w:val="24"/>
                <w:szCs w:val="24"/>
              </w:rPr>
              <w:t>8</w:t>
            </w:r>
          </w:p>
        </w:tc>
        <w:tc>
          <w:tcPr>
            <w:tcW w:w="1908" w:type="dxa"/>
            <w:gridSpan w:val="2"/>
            <w:vAlign w:val="center"/>
          </w:tcPr>
          <w:p>
            <w:pPr>
              <w:spacing w:line="640" w:lineRule="exact"/>
              <w:jc w:val="center"/>
              <w:rPr>
                <w:rFonts w:ascii="仿宋" w:hAnsi="仿宋" w:eastAsia="仿宋"/>
                <w:kern w:val="0"/>
                <w:sz w:val="24"/>
                <w:szCs w:val="24"/>
              </w:rPr>
            </w:pPr>
            <w:r>
              <w:rPr>
                <w:rFonts w:hint="eastAsia" w:ascii="仿宋" w:hAnsi="仿宋" w:eastAsia="仿宋"/>
                <w:kern w:val="0"/>
                <w:sz w:val="24"/>
                <w:szCs w:val="24"/>
              </w:rPr>
              <w:t>6207</w:t>
            </w:r>
          </w:p>
        </w:tc>
        <w:tc>
          <w:tcPr>
            <w:tcW w:w="2280" w:type="dxa"/>
            <w:vAlign w:val="center"/>
          </w:tcPr>
          <w:p>
            <w:pPr>
              <w:spacing w:line="640" w:lineRule="exact"/>
              <w:jc w:val="center"/>
              <w:rPr>
                <w:rFonts w:ascii="仿宋" w:hAnsi="仿宋" w:eastAsia="仿宋"/>
                <w:kern w:val="0"/>
                <w:sz w:val="24"/>
                <w:szCs w:val="24"/>
              </w:rPr>
            </w:pPr>
            <w:r>
              <w:rPr>
                <w:rFonts w:hint="eastAsia" w:ascii="仿宋" w:hAnsi="仿宋" w:eastAsia="仿宋"/>
                <w:kern w:val="0"/>
                <w:sz w:val="24"/>
                <w:szCs w:val="24"/>
              </w:rPr>
              <w:t>962</w:t>
            </w:r>
            <w:r>
              <w:rPr>
                <w:rFonts w:ascii="仿宋" w:hAnsi="仿宋" w:eastAsia="仿宋"/>
                <w:kern w:val="0"/>
                <w:sz w:val="24"/>
                <w:szCs w:val="24"/>
              </w:rPr>
              <w:t>1</w:t>
            </w:r>
          </w:p>
        </w:tc>
        <w:tc>
          <w:tcPr>
            <w:tcW w:w="1932" w:type="dxa"/>
            <w:vAlign w:val="center"/>
          </w:tcPr>
          <w:p>
            <w:pPr>
              <w:spacing w:line="640" w:lineRule="exact"/>
              <w:jc w:val="center"/>
              <w:rPr>
                <w:rFonts w:ascii="仿宋" w:hAnsi="仿宋" w:eastAsia="仿宋"/>
                <w:kern w:val="0"/>
                <w:sz w:val="24"/>
                <w:szCs w:val="24"/>
              </w:rPr>
            </w:pPr>
            <w:r>
              <w:rPr>
                <w:rFonts w:ascii="仿宋" w:hAnsi="仿宋" w:eastAsia="仿宋"/>
                <w:kern w:val="0"/>
                <w:sz w:val="24"/>
                <w:szCs w:val="24"/>
              </w:rPr>
              <w:t>277183.33</w:t>
            </w:r>
          </w:p>
        </w:tc>
        <w:tc>
          <w:tcPr>
            <w:tcW w:w="1859" w:type="dxa"/>
            <w:vMerge w:val="continue"/>
          </w:tcPr>
          <w:p>
            <w:pPr>
              <w:spacing w:line="640" w:lineRule="exac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Merge w:val="continue"/>
          </w:tcPr>
          <w:p>
            <w:pPr>
              <w:spacing w:line="640" w:lineRule="exact"/>
              <w:jc w:val="center"/>
              <w:rPr>
                <w:rFonts w:ascii="仿宋" w:hAnsi="仿宋" w:eastAsia="仿宋"/>
                <w:kern w:val="0"/>
                <w:sz w:val="24"/>
                <w:szCs w:val="24"/>
              </w:rPr>
            </w:pPr>
          </w:p>
        </w:tc>
        <w:tc>
          <w:tcPr>
            <w:tcW w:w="799" w:type="dxa"/>
            <w:vAlign w:val="center"/>
          </w:tcPr>
          <w:p>
            <w:pPr>
              <w:spacing w:line="640" w:lineRule="exact"/>
              <w:jc w:val="center"/>
              <w:rPr>
                <w:rFonts w:ascii="仿宋" w:hAnsi="仿宋" w:eastAsia="仿宋"/>
                <w:kern w:val="0"/>
                <w:sz w:val="24"/>
                <w:szCs w:val="24"/>
              </w:rPr>
            </w:pPr>
            <w:r>
              <w:rPr>
                <w:rFonts w:ascii="仿宋" w:hAnsi="仿宋" w:eastAsia="仿宋"/>
                <w:kern w:val="0"/>
                <w:sz w:val="24"/>
                <w:szCs w:val="24"/>
              </w:rPr>
              <w:t>9</w:t>
            </w:r>
          </w:p>
        </w:tc>
        <w:tc>
          <w:tcPr>
            <w:tcW w:w="1908" w:type="dxa"/>
            <w:gridSpan w:val="2"/>
            <w:vAlign w:val="center"/>
          </w:tcPr>
          <w:p>
            <w:pPr>
              <w:spacing w:line="640" w:lineRule="exact"/>
              <w:jc w:val="center"/>
              <w:rPr>
                <w:rFonts w:ascii="仿宋" w:hAnsi="仿宋" w:eastAsia="仿宋"/>
                <w:kern w:val="0"/>
                <w:sz w:val="24"/>
                <w:szCs w:val="24"/>
              </w:rPr>
            </w:pPr>
            <w:r>
              <w:rPr>
                <w:rFonts w:hint="eastAsia" w:ascii="仿宋" w:hAnsi="仿宋" w:eastAsia="仿宋"/>
                <w:kern w:val="0"/>
                <w:sz w:val="24"/>
                <w:szCs w:val="24"/>
              </w:rPr>
              <w:t>6075</w:t>
            </w:r>
          </w:p>
        </w:tc>
        <w:tc>
          <w:tcPr>
            <w:tcW w:w="2280" w:type="dxa"/>
            <w:vAlign w:val="center"/>
          </w:tcPr>
          <w:p>
            <w:pPr>
              <w:spacing w:line="640" w:lineRule="exact"/>
              <w:jc w:val="center"/>
              <w:rPr>
                <w:rFonts w:ascii="仿宋" w:hAnsi="仿宋" w:eastAsia="仿宋"/>
                <w:kern w:val="0"/>
                <w:sz w:val="24"/>
                <w:szCs w:val="24"/>
              </w:rPr>
            </w:pPr>
            <w:r>
              <w:rPr>
                <w:rFonts w:hint="eastAsia" w:ascii="仿宋" w:hAnsi="仿宋" w:eastAsia="仿宋"/>
                <w:kern w:val="0"/>
                <w:sz w:val="24"/>
                <w:szCs w:val="24"/>
              </w:rPr>
              <w:t>9416</w:t>
            </w:r>
          </w:p>
        </w:tc>
        <w:tc>
          <w:tcPr>
            <w:tcW w:w="1932" w:type="dxa"/>
            <w:vAlign w:val="center"/>
          </w:tcPr>
          <w:p>
            <w:pPr>
              <w:spacing w:line="640" w:lineRule="exact"/>
              <w:jc w:val="center"/>
              <w:rPr>
                <w:rFonts w:ascii="仿宋" w:hAnsi="仿宋" w:eastAsia="仿宋"/>
                <w:kern w:val="0"/>
                <w:sz w:val="24"/>
                <w:szCs w:val="24"/>
              </w:rPr>
            </w:pPr>
            <w:r>
              <w:rPr>
                <w:rFonts w:ascii="仿宋" w:hAnsi="仿宋" w:eastAsia="仿宋"/>
                <w:kern w:val="0"/>
                <w:sz w:val="24"/>
                <w:szCs w:val="24"/>
              </w:rPr>
              <w:t>295791.66</w:t>
            </w:r>
          </w:p>
        </w:tc>
        <w:tc>
          <w:tcPr>
            <w:tcW w:w="1859" w:type="dxa"/>
            <w:vMerge w:val="continue"/>
          </w:tcPr>
          <w:p>
            <w:pPr>
              <w:spacing w:line="640" w:lineRule="exac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Merge w:val="continue"/>
          </w:tcPr>
          <w:p>
            <w:pPr>
              <w:spacing w:line="640" w:lineRule="exact"/>
              <w:jc w:val="center"/>
              <w:rPr>
                <w:rFonts w:ascii="仿宋" w:hAnsi="仿宋" w:eastAsia="仿宋"/>
                <w:kern w:val="0"/>
                <w:sz w:val="24"/>
                <w:szCs w:val="24"/>
              </w:rPr>
            </w:pPr>
          </w:p>
        </w:tc>
        <w:tc>
          <w:tcPr>
            <w:tcW w:w="799" w:type="dxa"/>
            <w:vAlign w:val="center"/>
          </w:tcPr>
          <w:p>
            <w:pPr>
              <w:spacing w:line="640" w:lineRule="exact"/>
              <w:jc w:val="center"/>
              <w:rPr>
                <w:rFonts w:ascii="仿宋" w:hAnsi="仿宋" w:eastAsia="仿宋"/>
                <w:kern w:val="0"/>
                <w:sz w:val="24"/>
                <w:szCs w:val="24"/>
              </w:rPr>
            </w:pPr>
            <w:r>
              <w:rPr>
                <w:rFonts w:ascii="仿宋" w:hAnsi="仿宋" w:eastAsia="仿宋"/>
                <w:kern w:val="0"/>
                <w:sz w:val="24"/>
                <w:szCs w:val="24"/>
              </w:rPr>
              <w:t>10</w:t>
            </w:r>
          </w:p>
        </w:tc>
        <w:tc>
          <w:tcPr>
            <w:tcW w:w="1908" w:type="dxa"/>
            <w:gridSpan w:val="2"/>
            <w:vAlign w:val="center"/>
          </w:tcPr>
          <w:p>
            <w:pPr>
              <w:spacing w:line="640" w:lineRule="exact"/>
              <w:jc w:val="center"/>
              <w:rPr>
                <w:rFonts w:ascii="仿宋" w:hAnsi="仿宋" w:eastAsia="仿宋"/>
                <w:kern w:val="0"/>
                <w:sz w:val="24"/>
                <w:szCs w:val="24"/>
              </w:rPr>
            </w:pPr>
            <w:r>
              <w:rPr>
                <w:rFonts w:hint="eastAsia" w:ascii="仿宋" w:hAnsi="仿宋" w:eastAsia="仿宋"/>
                <w:kern w:val="0"/>
                <w:sz w:val="24"/>
                <w:szCs w:val="24"/>
              </w:rPr>
              <w:t>6498</w:t>
            </w:r>
          </w:p>
        </w:tc>
        <w:tc>
          <w:tcPr>
            <w:tcW w:w="2280" w:type="dxa"/>
            <w:vAlign w:val="center"/>
          </w:tcPr>
          <w:p>
            <w:pPr>
              <w:spacing w:line="640" w:lineRule="exact"/>
              <w:jc w:val="center"/>
              <w:rPr>
                <w:rFonts w:ascii="仿宋" w:hAnsi="仿宋" w:eastAsia="仿宋"/>
                <w:kern w:val="0"/>
                <w:sz w:val="24"/>
                <w:szCs w:val="24"/>
              </w:rPr>
            </w:pPr>
            <w:r>
              <w:rPr>
                <w:rFonts w:hint="eastAsia" w:ascii="仿宋" w:hAnsi="仿宋" w:eastAsia="仿宋"/>
                <w:kern w:val="0"/>
                <w:sz w:val="24"/>
                <w:szCs w:val="24"/>
              </w:rPr>
              <w:t>1007</w:t>
            </w:r>
            <w:r>
              <w:rPr>
                <w:rFonts w:ascii="仿宋" w:hAnsi="仿宋" w:eastAsia="仿宋"/>
                <w:kern w:val="0"/>
                <w:sz w:val="24"/>
                <w:szCs w:val="24"/>
              </w:rPr>
              <w:t>2</w:t>
            </w:r>
          </w:p>
        </w:tc>
        <w:tc>
          <w:tcPr>
            <w:tcW w:w="1932" w:type="dxa"/>
            <w:vAlign w:val="center"/>
          </w:tcPr>
          <w:p>
            <w:pPr>
              <w:spacing w:line="640" w:lineRule="exact"/>
              <w:jc w:val="center"/>
              <w:rPr>
                <w:rFonts w:ascii="仿宋" w:hAnsi="仿宋" w:eastAsia="仿宋"/>
                <w:kern w:val="0"/>
                <w:sz w:val="24"/>
                <w:szCs w:val="24"/>
              </w:rPr>
            </w:pPr>
            <w:r>
              <w:rPr>
                <w:rFonts w:hint="eastAsia" w:ascii="仿宋" w:hAnsi="仿宋" w:eastAsia="仿宋"/>
                <w:kern w:val="0"/>
                <w:sz w:val="24"/>
                <w:szCs w:val="24"/>
              </w:rPr>
              <w:t>286250</w:t>
            </w:r>
            <w:r>
              <w:rPr>
                <w:rFonts w:ascii="仿宋" w:hAnsi="仿宋" w:eastAsia="仿宋"/>
                <w:kern w:val="0"/>
                <w:sz w:val="24"/>
                <w:szCs w:val="24"/>
              </w:rPr>
              <w:t>.00</w:t>
            </w:r>
          </w:p>
        </w:tc>
        <w:tc>
          <w:tcPr>
            <w:tcW w:w="1859" w:type="dxa"/>
            <w:vMerge w:val="continue"/>
          </w:tcPr>
          <w:p>
            <w:pPr>
              <w:spacing w:line="640" w:lineRule="exac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Merge w:val="continue"/>
          </w:tcPr>
          <w:p>
            <w:pPr>
              <w:spacing w:line="640" w:lineRule="exact"/>
              <w:jc w:val="center"/>
              <w:rPr>
                <w:rFonts w:ascii="仿宋" w:hAnsi="仿宋" w:eastAsia="仿宋"/>
                <w:kern w:val="0"/>
                <w:sz w:val="24"/>
                <w:szCs w:val="24"/>
              </w:rPr>
            </w:pPr>
          </w:p>
        </w:tc>
        <w:tc>
          <w:tcPr>
            <w:tcW w:w="799" w:type="dxa"/>
            <w:vAlign w:val="center"/>
          </w:tcPr>
          <w:p>
            <w:pPr>
              <w:spacing w:line="640" w:lineRule="exact"/>
              <w:jc w:val="center"/>
              <w:rPr>
                <w:rFonts w:ascii="仿宋" w:hAnsi="仿宋" w:eastAsia="仿宋"/>
                <w:kern w:val="0"/>
                <w:sz w:val="24"/>
                <w:szCs w:val="24"/>
              </w:rPr>
            </w:pPr>
            <w:r>
              <w:rPr>
                <w:rFonts w:ascii="仿宋" w:hAnsi="仿宋" w:eastAsia="仿宋"/>
                <w:kern w:val="0"/>
                <w:sz w:val="24"/>
                <w:szCs w:val="24"/>
              </w:rPr>
              <w:t>11</w:t>
            </w:r>
          </w:p>
        </w:tc>
        <w:tc>
          <w:tcPr>
            <w:tcW w:w="1908" w:type="dxa"/>
            <w:gridSpan w:val="2"/>
            <w:vAlign w:val="center"/>
          </w:tcPr>
          <w:p>
            <w:pPr>
              <w:spacing w:line="640" w:lineRule="exact"/>
              <w:jc w:val="center"/>
              <w:rPr>
                <w:rFonts w:ascii="仿宋" w:hAnsi="仿宋" w:eastAsia="仿宋"/>
                <w:kern w:val="0"/>
                <w:sz w:val="24"/>
                <w:szCs w:val="24"/>
              </w:rPr>
            </w:pPr>
            <w:r>
              <w:rPr>
                <w:rFonts w:hint="eastAsia" w:ascii="仿宋" w:hAnsi="仿宋" w:eastAsia="仿宋"/>
                <w:kern w:val="0"/>
                <w:sz w:val="24"/>
                <w:szCs w:val="24"/>
              </w:rPr>
              <w:t>6069</w:t>
            </w:r>
          </w:p>
        </w:tc>
        <w:tc>
          <w:tcPr>
            <w:tcW w:w="2280" w:type="dxa"/>
            <w:vAlign w:val="center"/>
          </w:tcPr>
          <w:p>
            <w:pPr>
              <w:spacing w:line="640" w:lineRule="exact"/>
              <w:jc w:val="center"/>
              <w:rPr>
                <w:rFonts w:ascii="仿宋" w:hAnsi="仿宋" w:eastAsia="仿宋"/>
                <w:kern w:val="0"/>
                <w:sz w:val="24"/>
                <w:szCs w:val="24"/>
              </w:rPr>
            </w:pPr>
            <w:r>
              <w:rPr>
                <w:rFonts w:hint="eastAsia" w:ascii="仿宋" w:hAnsi="仿宋" w:eastAsia="仿宋"/>
                <w:kern w:val="0"/>
                <w:sz w:val="24"/>
                <w:szCs w:val="24"/>
              </w:rPr>
              <w:t>940</w:t>
            </w:r>
            <w:r>
              <w:rPr>
                <w:rFonts w:ascii="仿宋" w:hAnsi="仿宋" w:eastAsia="仿宋"/>
                <w:kern w:val="0"/>
                <w:sz w:val="24"/>
                <w:szCs w:val="24"/>
              </w:rPr>
              <w:t>7</w:t>
            </w:r>
          </w:p>
        </w:tc>
        <w:tc>
          <w:tcPr>
            <w:tcW w:w="1932" w:type="dxa"/>
            <w:vAlign w:val="center"/>
          </w:tcPr>
          <w:p>
            <w:pPr>
              <w:spacing w:line="640" w:lineRule="exact"/>
              <w:jc w:val="center"/>
              <w:rPr>
                <w:rFonts w:ascii="仿宋" w:hAnsi="仿宋" w:eastAsia="仿宋"/>
                <w:kern w:val="0"/>
                <w:sz w:val="24"/>
                <w:szCs w:val="24"/>
              </w:rPr>
            </w:pPr>
            <w:r>
              <w:rPr>
                <w:rFonts w:hint="eastAsia" w:ascii="仿宋" w:hAnsi="仿宋" w:eastAsia="仿宋"/>
                <w:kern w:val="0"/>
                <w:sz w:val="24"/>
                <w:szCs w:val="24"/>
              </w:rPr>
              <w:t>295791.66</w:t>
            </w:r>
          </w:p>
        </w:tc>
        <w:tc>
          <w:tcPr>
            <w:tcW w:w="1859" w:type="dxa"/>
            <w:vMerge w:val="continue"/>
          </w:tcPr>
          <w:p>
            <w:pPr>
              <w:spacing w:line="640" w:lineRule="exac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Merge w:val="continue"/>
          </w:tcPr>
          <w:p>
            <w:pPr>
              <w:spacing w:line="640" w:lineRule="exact"/>
              <w:jc w:val="center"/>
              <w:rPr>
                <w:rFonts w:ascii="仿宋" w:hAnsi="仿宋" w:eastAsia="仿宋"/>
                <w:kern w:val="0"/>
                <w:sz w:val="24"/>
                <w:szCs w:val="24"/>
              </w:rPr>
            </w:pPr>
          </w:p>
        </w:tc>
        <w:tc>
          <w:tcPr>
            <w:tcW w:w="799" w:type="dxa"/>
            <w:vAlign w:val="center"/>
          </w:tcPr>
          <w:p>
            <w:pPr>
              <w:spacing w:line="640" w:lineRule="exact"/>
              <w:jc w:val="center"/>
              <w:rPr>
                <w:rFonts w:ascii="仿宋" w:hAnsi="仿宋" w:eastAsia="仿宋"/>
                <w:kern w:val="0"/>
                <w:sz w:val="24"/>
                <w:szCs w:val="24"/>
              </w:rPr>
            </w:pPr>
            <w:r>
              <w:rPr>
                <w:rFonts w:ascii="仿宋" w:hAnsi="仿宋" w:eastAsia="仿宋"/>
                <w:kern w:val="0"/>
                <w:sz w:val="24"/>
                <w:szCs w:val="24"/>
              </w:rPr>
              <w:t>12</w:t>
            </w:r>
          </w:p>
        </w:tc>
        <w:tc>
          <w:tcPr>
            <w:tcW w:w="1908" w:type="dxa"/>
            <w:gridSpan w:val="2"/>
            <w:vAlign w:val="center"/>
          </w:tcPr>
          <w:p>
            <w:pPr>
              <w:spacing w:line="640" w:lineRule="exact"/>
              <w:jc w:val="center"/>
              <w:rPr>
                <w:rFonts w:ascii="仿宋" w:hAnsi="仿宋" w:eastAsia="仿宋"/>
                <w:kern w:val="0"/>
                <w:sz w:val="24"/>
                <w:szCs w:val="24"/>
              </w:rPr>
            </w:pPr>
            <w:r>
              <w:rPr>
                <w:rFonts w:hint="eastAsia" w:ascii="仿宋" w:hAnsi="仿宋" w:eastAsia="仿宋"/>
                <w:kern w:val="0"/>
                <w:sz w:val="24"/>
                <w:szCs w:val="24"/>
              </w:rPr>
              <w:t>5206</w:t>
            </w:r>
          </w:p>
        </w:tc>
        <w:tc>
          <w:tcPr>
            <w:tcW w:w="2280" w:type="dxa"/>
            <w:vAlign w:val="center"/>
          </w:tcPr>
          <w:p>
            <w:pPr>
              <w:spacing w:line="640" w:lineRule="exact"/>
              <w:jc w:val="center"/>
              <w:rPr>
                <w:rFonts w:ascii="仿宋" w:hAnsi="仿宋" w:eastAsia="仿宋"/>
                <w:kern w:val="0"/>
                <w:sz w:val="24"/>
                <w:szCs w:val="24"/>
              </w:rPr>
            </w:pPr>
            <w:r>
              <w:rPr>
                <w:rFonts w:hint="eastAsia" w:ascii="仿宋" w:hAnsi="仿宋" w:eastAsia="仿宋"/>
                <w:kern w:val="0"/>
                <w:sz w:val="24"/>
                <w:szCs w:val="24"/>
              </w:rPr>
              <w:t>8069</w:t>
            </w:r>
          </w:p>
        </w:tc>
        <w:tc>
          <w:tcPr>
            <w:tcW w:w="1932" w:type="dxa"/>
            <w:vAlign w:val="center"/>
          </w:tcPr>
          <w:p>
            <w:pPr>
              <w:spacing w:line="640" w:lineRule="exact"/>
              <w:jc w:val="center"/>
              <w:rPr>
                <w:rFonts w:ascii="仿宋" w:hAnsi="仿宋" w:eastAsia="仿宋"/>
                <w:kern w:val="0"/>
                <w:sz w:val="24"/>
                <w:szCs w:val="24"/>
              </w:rPr>
            </w:pPr>
            <w:r>
              <w:rPr>
                <w:rFonts w:hint="eastAsia" w:ascii="仿宋" w:hAnsi="仿宋" w:eastAsia="仿宋"/>
                <w:kern w:val="0"/>
                <w:sz w:val="24"/>
                <w:szCs w:val="24"/>
              </w:rPr>
              <w:t>445138.9</w:t>
            </w:r>
            <w:r>
              <w:rPr>
                <w:rFonts w:ascii="仿宋" w:hAnsi="仿宋" w:eastAsia="仿宋"/>
                <w:kern w:val="0"/>
                <w:sz w:val="24"/>
                <w:szCs w:val="24"/>
              </w:rPr>
              <w:t>0</w:t>
            </w:r>
          </w:p>
        </w:tc>
        <w:tc>
          <w:tcPr>
            <w:tcW w:w="1859" w:type="dxa"/>
            <w:vMerge w:val="continue"/>
          </w:tcPr>
          <w:p>
            <w:pPr>
              <w:spacing w:line="640" w:lineRule="exac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Merge w:val="restart"/>
            <w:vAlign w:val="center"/>
          </w:tcPr>
          <w:p>
            <w:pPr>
              <w:spacing w:line="640" w:lineRule="exact"/>
              <w:jc w:val="center"/>
              <w:rPr>
                <w:rFonts w:ascii="仿宋" w:hAnsi="仿宋" w:eastAsia="仿宋"/>
                <w:kern w:val="0"/>
                <w:sz w:val="24"/>
                <w:szCs w:val="24"/>
              </w:rPr>
            </w:pPr>
            <w:r>
              <w:rPr>
                <w:rFonts w:hint="eastAsia" w:ascii="仿宋" w:hAnsi="仿宋" w:eastAsia="仿宋"/>
                <w:kern w:val="0"/>
                <w:sz w:val="24"/>
                <w:szCs w:val="24"/>
              </w:rPr>
              <w:t>20</w:t>
            </w:r>
            <w:r>
              <w:rPr>
                <w:rFonts w:ascii="仿宋" w:hAnsi="仿宋" w:eastAsia="仿宋"/>
                <w:kern w:val="0"/>
                <w:sz w:val="24"/>
                <w:szCs w:val="24"/>
              </w:rPr>
              <w:t>21</w:t>
            </w:r>
          </w:p>
        </w:tc>
        <w:tc>
          <w:tcPr>
            <w:tcW w:w="799" w:type="dxa"/>
            <w:vAlign w:val="center"/>
          </w:tcPr>
          <w:p>
            <w:pPr>
              <w:spacing w:line="640" w:lineRule="exact"/>
              <w:jc w:val="center"/>
              <w:rPr>
                <w:rFonts w:ascii="仿宋" w:hAnsi="仿宋" w:eastAsia="仿宋"/>
                <w:kern w:val="0"/>
                <w:sz w:val="24"/>
                <w:szCs w:val="24"/>
              </w:rPr>
            </w:pPr>
            <w:r>
              <w:rPr>
                <w:rFonts w:ascii="仿宋" w:hAnsi="仿宋" w:eastAsia="仿宋"/>
                <w:kern w:val="0"/>
                <w:sz w:val="24"/>
                <w:szCs w:val="24"/>
              </w:rPr>
              <w:t>1</w:t>
            </w:r>
          </w:p>
        </w:tc>
        <w:tc>
          <w:tcPr>
            <w:tcW w:w="1908" w:type="dxa"/>
            <w:gridSpan w:val="2"/>
            <w:vAlign w:val="center"/>
          </w:tcPr>
          <w:p>
            <w:pPr>
              <w:spacing w:line="640" w:lineRule="exact"/>
              <w:jc w:val="center"/>
              <w:rPr>
                <w:rFonts w:ascii="仿宋" w:hAnsi="仿宋" w:eastAsia="仿宋"/>
                <w:kern w:val="0"/>
                <w:sz w:val="24"/>
                <w:szCs w:val="24"/>
              </w:rPr>
            </w:pPr>
            <w:r>
              <w:rPr>
                <w:rFonts w:hint="eastAsia" w:ascii="仿宋" w:hAnsi="仿宋" w:eastAsia="仿宋"/>
                <w:kern w:val="0"/>
                <w:sz w:val="24"/>
                <w:szCs w:val="24"/>
              </w:rPr>
              <w:t>5902</w:t>
            </w:r>
          </w:p>
        </w:tc>
        <w:tc>
          <w:tcPr>
            <w:tcW w:w="2280" w:type="dxa"/>
            <w:vAlign w:val="center"/>
          </w:tcPr>
          <w:p>
            <w:pPr>
              <w:spacing w:line="640" w:lineRule="exact"/>
              <w:jc w:val="center"/>
              <w:rPr>
                <w:rFonts w:ascii="仿宋" w:hAnsi="仿宋" w:eastAsia="仿宋"/>
                <w:kern w:val="0"/>
                <w:sz w:val="24"/>
                <w:szCs w:val="24"/>
              </w:rPr>
            </w:pPr>
            <w:r>
              <w:rPr>
                <w:rFonts w:hint="eastAsia" w:ascii="仿宋" w:hAnsi="仿宋" w:eastAsia="仿宋"/>
                <w:kern w:val="0"/>
                <w:sz w:val="24"/>
                <w:szCs w:val="24"/>
              </w:rPr>
              <w:t>9148</w:t>
            </w:r>
          </w:p>
        </w:tc>
        <w:tc>
          <w:tcPr>
            <w:tcW w:w="1932" w:type="dxa"/>
            <w:vAlign w:val="center"/>
          </w:tcPr>
          <w:p>
            <w:pPr>
              <w:spacing w:line="640" w:lineRule="exact"/>
              <w:jc w:val="center"/>
              <w:rPr>
                <w:rFonts w:ascii="仿宋" w:hAnsi="仿宋" w:eastAsia="仿宋"/>
                <w:kern w:val="0"/>
                <w:sz w:val="24"/>
                <w:szCs w:val="24"/>
              </w:rPr>
            </w:pPr>
            <w:r>
              <w:rPr>
                <w:rFonts w:hint="eastAsia" w:ascii="仿宋" w:hAnsi="仿宋" w:eastAsia="仿宋"/>
                <w:kern w:val="0"/>
                <w:sz w:val="24"/>
                <w:szCs w:val="24"/>
              </w:rPr>
              <w:t>295791.66</w:t>
            </w:r>
          </w:p>
        </w:tc>
        <w:tc>
          <w:tcPr>
            <w:tcW w:w="1859" w:type="dxa"/>
            <w:vMerge w:val="continue"/>
          </w:tcPr>
          <w:p>
            <w:pPr>
              <w:spacing w:line="640" w:lineRule="exac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Merge w:val="continue"/>
          </w:tcPr>
          <w:p>
            <w:pPr>
              <w:spacing w:line="640" w:lineRule="exact"/>
              <w:jc w:val="center"/>
              <w:rPr>
                <w:rFonts w:ascii="仿宋" w:hAnsi="仿宋" w:eastAsia="仿宋"/>
                <w:kern w:val="0"/>
                <w:sz w:val="24"/>
                <w:szCs w:val="24"/>
              </w:rPr>
            </w:pPr>
          </w:p>
        </w:tc>
        <w:tc>
          <w:tcPr>
            <w:tcW w:w="799" w:type="dxa"/>
            <w:vAlign w:val="center"/>
          </w:tcPr>
          <w:p>
            <w:pPr>
              <w:spacing w:line="640" w:lineRule="exact"/>
              <w:jc w:val="center"/>
              <w:rPr>
                <w:rFonts w:ascii="仿宋" w:hAnsi="仿宋" w:eastAsia="仿宋"/>
                <w:kern w:val="0"/>
                <w:sz w:val="24"/>
                <w:szCs w:val="24"/>
              </w:rPr>
            </w:pPr>
            <w:r>
              <w:rPr>
                <w:rFonts w:ascii="仿宋" w:hAnsi="仿宋" w:eastAsia="仿宋"/>
                <w:kern w:val="0"/>
                <w:sz w:val="24"/>
                <w:szCs w:val="24"/>
              </w:rPr>
              <w:t>2</w:t>
            </w:r>
          </w:p>
        </w:tc>
        <w:tc>
          <w:tcPr>
            <w:tcW w:w="1908" w:type="dxa"/>
            <w:gridSpan w:val="2"/>
            <w:vAlign w:val="center"/>
          </w:tcPr>
          <w:p>
            <w:pPr>
              <w:spacing w:line="640" w:lineRule="exact"/>
              <w:jc w:val="center"/>
              <w:rPr>
                <w:rFonts w:ascii="仿宋" w:hAnsi="仿宋" w:eastAsia="仿宋"/>
                <w:kern w:val="0"/>
                <w:sz w:val="24"/>
                <w:szCs w:val="24"/>
              </w:rPr>
            </w:pPr>
            <w:r>
              <w:rPr>
                <w:rFonts w:hint="eastAsia" w:ascii="仿宋" w:hAnsi="仿宋" w:eastAsia="仿宋"/>
                <w:kern w:val="0"/>
                <w:sz w:val="24"/>
                <w:szCs w:val="24"/>
              </w:rPr>
              <w:t>7715</w:t>
            </w:r>
          </w:p>
        </w:tc>
        <w:tc>
          <w:tcPr>
            <w:tcW w:w="2280" w:type="dxa"/>
            <w:vAlign w:val="center"/>
          </w:tcPr>
          <w:p>
            <w:pPr>
              <w:spacing w:line="640" w:lineRule="exact"/>
              <w:jc w:val="center"/>
              <w:rPr>
                <w:rFonts w:ascii="仿宋" w:hAnsi="仿宋" w:eastAsia="仿宋"/>
                <w:kern w:val="0"/>
                <w:sz w:val="24"/>
                <w:szCs w:val="24"/>
              </w:rPr>
            </w:pPr>
            <w:r>
              <w:rPr>
                <w:rFonts w:hint="eastAsia" w:ascii="仿宋" w:hAnsi="仿宋" w:eastAsia="仿宋"/>
                <w:kern w:val="0"/>
                <w:sz w:val="24"/>
                <w:szCs w:val="24"/>
              </w:rPr>
              <w:t>11958</w:t>
            </w:r>
          </w:p>
        </w:tc>
        <w:tc>
          <w:tcPr>
            <w:tcW w:w="1932" w:type="dxa"/>
            <w:vAlign w:val="center"/>
          </w:tcPr>
          <w:p>
            <w:pPr>
              <w:spacing w:line="640" w:lineRule="exact"/>
              <w:jc w:val="center"/>
              <w:rPr>
                <w:rFonts w:ascii="仿宋" w:hAnsi="仿宋" w:eastAsia="仿宋"/>
                <w:kern w:val="0"/>
                <w:sz w:val="24"/>
                <w:szCs w:val="24"/>
              </w:rPr>
            </w:pPr>
            <w:r>
              <w:rPr>
                <w:rFonts w:hint="eastAsia" w:ascii="仿宋" w:hAnsi="仿宋" w:eastAsia="仿宋"/>
                <w:kern w:val="0"/>
                <w:sz w:val="24"/>
                <w:szCs w:val="24"/>
              </w:rPr>
              <w:t>291841.66</w:t>
            </w:r>
          </w:p>
        </w:tc>
        <w:tc>
          <w:tcPr>
            <w:tcW w:w="1859" w:type="dxa"/>
            <w:vMerge w:val="continue"/>
          </w:tcPr>
          <w:p>
            <w:pPr>
              <w:spacing w:line="640" w:lineRule="exac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Merge w:val="continue"/>
          </w:tcPr>
          <w:p>
            <w:pPr>
              <w:spacing w:line="640" w:lineRule="exact"/>
              <w:jc w:val="center"/>
              <w:rPr>
                <w:rFonts w:ascii="仿宋" w:hAnsi="仿宋" w:eastAsia="仿宋"/>
                <w:kern w:val="0"/>
                <w:sz w:val="24"/>
                <w:szCs w:val="24"/>
              </w:rPr>
            </w:pPr>
          </w:p>
        </w:tc>
        <w:tc>
          <w:tcPr>
            <w:tcW w:w="799" w:type="dxa"/>
            <w:vAlign w:val="center"/>
          </w:tcPr>
          <w:p>
            <w:pPr>
              <w:spacing w:line="640" w:lineRule="exact"/>
              <w:jc w:val="center"/>
              <w:rPr>
                <w:rFonts w:ascii="仿宋" w:hAnsi="仿宋" w:eastAsia="仿宋"/>
                <w:kern w:val="0"/>
                <w:sz w:val="24"/>
                <w:szCs w:val="24"/>
              </w:rPr>
            </w:pPr>
            <w:r>
              <w:rPr>
                <w:rFonts w:ascii="仿宋" w:hAnsi="仿宋" w:eastAsia="仿宋"/>
                <w:kern w:val="0"/>
                <w:sz w:val="24"/>
                <w:szCs w:val="24"/>
              </w:rPr>
              <w:t>3</w:t>
            </w:r>
          </w:p>
        </w:tc>
        <w:tc>
          <w:tcPr>
            <w:tcW w:w="1908" w:type="dxa"/>
            <w:gridSpan w:val="2"/>
            <w:vAlign w:val="center"/>
          </w:tcPr>
          <w:p>
            <w:pPr>
              <w:spacing w:line="640" w:lineRule="exact"/>
              <w:jc w:val="center"/>
              <w:rPr>
                <w:rFonts w:ascii="仿宋" w:hAnsi="仿宋" w:eastAsia="仿宋"/>
                <w:kern w:val="0"/>
                <w:sz w:val="24"/>
                <w:szCs w:val="24"/>
              </w:rPr>
            </w:pPr>
            <w:r>
              <w:rPr>
                <w:rFonts w:hint="eastAsia" w:ascii="仿宋" w:hAnsi="仿宋" w:eastAsia="仿宋"/>
                <w:kern w:val="0"/>
                <w:sz w:val="24"/>
                <w:szCs w:val="24"/>
              </w:rPr>
              <w:t>7702</w:t>
            </w:r>
          </w:p>
        </w:tc>
        <w:tc>
          <w:tcPr>
            <w:tcW w:w="2280" w:type="dxa"/>
            <w:vAlign w:val="center"/>
          </w:tcPr>
          <w:p>
            <w:pPr>
              <w:spacing w:line="640" w:lineRule="exact"/>
              <w:jc w:val="center"/>
              <w:rPr>
                <w:rFonts w:ascii="仿宋" w:hAnsi="仿宋" w:eastAsia="仿宋"/>
                <w:kern w:val="0"/>
                <w:sz w:val="24"/>
                <w:szCs w:val="24"/>
              </w:rPr>
            </w:pPr>
            <w:r>
              <w:rPr>
                <w:rFonts w:hint="eastAsia" w:ascii="仿宋" w:hAnsi="仿宋" w:eastAsia="仿宋"/>
                <w:kern w:val="0"/>
                <w:sz w:val="24"/>
                <w:szCs w:val="24"/>
              </w:rPr>
              <w:t>11938</w:t>
            </w:r>
          </w:p>
        </w:tc>
        <w:tc>
          <w:tcPr>
            <w:tcW w:w="1932" w:type="dxa"/>
            <w:vAlign w:val="center"/>
          </w:tcPr>
          <w:p>
            <w:pPr>
              <w:spacing w:line="640" w:lineRule="exact"/>
              <w:jc w:val="center"/>
              <w:rPr>
                <w:rFonts w:ascii="仿宋" w:hAnsi="仿宋" w:eastAsia="仿宋"/>
                <w:kern w:val="0"/>
                <w:sz w:val="24"/>
                <w:szCs w:val="24"/>
              </w:rPr>
            </w:pPr>
            <w:r>
              <w:rPr>
                <w:rFonts w:hint="eastAsia" w:ascii="仿宋" w:hAnsi="仿宋" w:eastAsia="仿宋"/>
                <w:kern w:val="0"/>
                <w:sz w:val="24"/>
                <w:szCs w:val="24"/>
              </w:rPr>
              <w:t>542866.66</w:t>
            </w:r>
          </w:p>
        </w:tc>
        <w:tc>
          <w:tcPr>
            <w:tcW w:w="1859" w:type="dxa"/>
            <w:vMerge w:val="continue"/>
          </w:tcPr>
          <w:p>
            <w:pPr>
              <w:spacing w:line="640" w:lineRule="exac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Merge w:val="continue"/>
          </w:tcPr>
          <w:p>
            <w:pPr>
              <w:spacing w:line="640" w:lineRule="exact"/>
              <w:jc w:val="center"/>
              <w:rPr>
                <w:rFonts w:ascii="仿宋" w:hAnsi="仿宋" w:eastAsia="仿宋"/>
                <w:kern w:val="0"/>
                <w:sz w:val="24"/>
                <w:szCs w:val="24"/>
              </w:rPr>
            </w:pPr>
          </w:p>
        </w:tc>
        <w:tc>
          <w:tcPr>
            <w:tcW w:w="799" w:type="dxa"/>
            <w:vAlign w:val="center"/>
          </w:tcPr>
          <w:p>
            <w:pPr>
              <w:spacing w:line="640" w:lineRule="exact"/>
              <w:jc w:val="center"/>
              <w:rPr>
                <w:rFonts w:ascii="仿宋" w:hAnsi="仿宋" w:eastAsia="仿宋"/>
                <w:kern w:val="0"/>
                <w:sz w:val="24"/>
                <w:szCs w:val="24"/>
              </w:rPr>
            </w:pPr>
            <w:r>
              <w:rPr>
                <w:rFonts w:ascii="仿宋" w:hAnsi="仿宋" w:eastAsia="仿宋"/>
                <w:kern w:val="0"/>
                <w:sz w:val="24"/>
                <w:szCs w:val="24"/>
              </w:rPr>
              <w:t>4</w:t>
            </w:r>
          </w:p>
        </w:tc>
        <w:tc>
          <w:tcPr>
            <w:tcW w:w="1908" w:type="dxa"/>
            <w:gridSpan w:val="2"/>
            <w:vAlign w:val="center"/>
          </w:tcPr>
          <w:p>
            <w:pPr>
              <w:spacing w:line="640" w:lineRule="exact"/>
              <w:jc w:val="center"/>
              <w:rPr>
                <w:rFonts w:ascii="仿宋" w:hAnsi="仿宋" w:eastAsia="仿宋"/>
                <w:kern w:val="0"/>
                <w:sz w:val="24"/>
                <w:szCs w:val="24"/>
              </w:rPr>
            </w:pPr>
            <w:r>
              <w:rPr>
                <w:rFonts w:hint="eastAsia" w:ascii="仿宋" w:hAnsi="仿宋" w:eastAsia="仿宋"/>
                <w:kern w:val="0"/>
                <w:sz w:val="24"/>
                <w:szCs w:val="24"/>
              </w:rPr>
              <w:t>9102</w:t>
            </w:r>
          </w:p>
        </w:tc>
        <w:tc>
          <w:tcPr>
            <w:tcW w:w="2280" w:type="dxa"/>
            <w:vAlign w:val="center"/>
          </w:tcPr>
          <w:p>
            <w:pPr>
              <w:spacing w:line="640" w:lineRule="exact"/>
              <w:jc w:val="center"/>
              <w:rPr>
                <w:rFonts w:ascii="仿宋" w:hAnsi="仿宋" w:eastAsia="仿宋"/>
                <w:kern w:val="0"/>
                <w:sz w:val="24"/>
                <w:szCs w:val="24"/>
              </w:rPr>
            </w:pPr>
            <w:r>
              <w:rPr>
                <w:rFonts w:hint="eastAsia" w:ascii="仿宋" w:hAnsi="仿宋" w:eastAsia="仿宋"/>
                <w:kern w:val="0"/>
                <w:sz w:val="24"/>
                <w:szCs w:val="24"/>
              </w:rPr>
              <w:t>14108</w:t>
            </w:r>
          </w:p>
        </w:tc>
        <w:tc>
          <w:tcPr>
            <w:tcW w:w="1932" w:type="dxa"/>
            <w:vAlign w:val="center"/>
          </w:tcPr>
          <w:p>
            <w:pPr>
              <w:spacing w:line="640" w:lineRule="exact"/>
              <w:jc w:val="center"/>
              <w:rPr>
                <w:rFonts w:ascii="仿宋" w:hAnsi="仿宋" w:eastAsia="仿宋"/>
                <w:kern w:val="0"/>
                <w:sz w:val="24"/>
                <w:szCs w:val="24"/>
              </w:rPr>
            </w:pPr>
            <w:r>
              <w:rPr>
                <w:rFonts w:hint="eastAsia" w:ascii="仿宋" w:hAnsi="仿宋" w:eastAsia="仿宋"/>
                <w:kern w:val="0"/>
                <w:sz w:val="24"/>
                <w:szCs w:val="24"/>
              </w:rPr>
              <w:t>296566.66</w:t>
            </w:r>
          </w:p>
        </w:tc>
        <w:tc>
          <w:tcPr>
            <w:tcW w:w="1859" w:type="dxa"/>
            <w:vMerge w:val="continue"/>
          </w:tcPr>
          <w:p>
            <w:pPr>
              <w:spacing w:line="640" w:lineRule="exac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Merge w:val="continue"/>
          </w:tcPr>
          <w:p>
            <w:pPr>
              <w:spacing w:line="640" w:lineRule="exact"/>
              <w:jc w:val="center"/>
              <w:rPr>
                <w:rFonts w:ascii="仿宋" w:hAnsi="仿宋" w:eastAsia="仿宋"/>
                <w:kern w:val="0"/>
                <w:sz w:val="24"/>
                <w:szCs w:val="24"/>
              </w:rPr>
            </w:pPr>
          </w:p>
        </w:tc>
        <w:tc>
          <w:tcPr>
            <w:tcW w:w="799" w:type="dxa"/>
            <w:vAlign w:val="center"/>
          </w:tcPr>
          <w:p>
            <w:pPr>
              <w:spacing w:line="640" w:lineRule="exact"/>
              <w:jc w:val="center"/>
              <w:rPr>
                <w:rFonts w:ascii="仿宋" w:hAnsi="仿宋" w:eastAsia="仿宋"/>
                <w:kern w:val="0"/>
                <w:sz w:val="24"/>
                <w:szCs w:val="24"/>
              </w:rPr>
            </w:pPr>
            <w:r>
              <w:rPr>
                <w:rFonts w:ascii="仿宋" w:hAnsi="仿宋" w:eastAsia="仿宋"/>
                <w:kern w:val="0"/>
                <w:sz w:val="24"/>
                <w:szCs w:val="24"/>
              </w:rPr>
              <w:t>5</w:t>
            </w:r>
          </w:p>
        </w:tc>
        <w:tc>
          <w:tcPr>
            <w:tcW w:w="1908" w:type="dxa"/>
            <w:gridSpan w:val="2"/>
            <w:vAlign w:val="center"/>
          </w:tcPr>
          <w:p>
            <w:pPr>
              <w:spacing w:line="640" w:lineRule="exact"/>
              <w:jc w:val="center"/>
              <w:rPr>
                <w:rFonts w:ascii="仿宋" w:hAnsi="仿宋" w:eastAsia="仿宋"/>
                <w:kern w:val="0"/>
                <w:sz w:val="24"/>
                <w:szCs w:val="24"/>
              </w:rPr>
            </w:pPr>
            <w:r>
              <w:rPr>
                <w:rFonts w:hint="eastAsia" w:ascii="仿宋" w:hAnsi="仿宋" w:eastAsia="仿宋"/>
                <w:kern w:val="0"/>
                <w:sz w:val="24"/>
                <w:szCs w:val="24"/>
              </w:rPr>
              <w:t>4995</w:t>
            </w:r>
          </w:p>
        </w:tc>
        <w:tc>
          <w:tcPr>
            <w:tcW w:w="2280" w:type="dxa"/>
            <w:vAlign w:val="center"/>
          </w:tcPr>
          <w:p>
            <w:pPr>
              <w:spacing w:line="640" w:lineRule="exact"/>
              <w:jc w:val="center"/>
              <w:rPr>
                <w:rFonts w:ascii="仿宋" w:hAnsi="仿宋" w:eastAsia="仿宋"/>
                <w:kern w:val="0"/>
                <w:sz w:val="24"/>
                <w:szCs w:val="24"/>
              </w:rPr>
            </w:pPr>
            <w:r>
              <w:rPr>
                <w:rFonts w:hint="eastAsia" w:ascii="仿宋" w:hAnsi="仿宋" w:eastAsia="仿宋"/>
                <w:kern w:val="0"/>
                <w:sz w:val="24"/>
                <w:szCs w:val="24"/>
              </w:rPr>
              <w:t>7742</w:t>
            </w:r>
          </w:p>
        </w:tc>
        <w:tc>
          <w:tcPr>
            <w:tcW w:w="1932" w:type="dxa"/>
            <w:vAlign w:val="center"/>
          </w:tcPr>
          <w:p>
            <w:pPr>
              <w:spacing w:line="640" w:lineRule="exact"/>
              <w:jc w:val="center"/>
              <w:rPr>
                <w:rFonts w:ascii="仿宋" w:hAnsi="仿宋" w:eastAsia="仿宋"/>
                <w:kern w:val="0"/>
                <w:sz w:val="24"/>
                <w:szCs w:val="24"/>
              </w:rPr>
            </w:pPr>
            <w:r>
              <w:rPr>
                <w:rFonts w:hint="eastAsia" w:ascii="仿宋" w:hAnsi="仿宋" w:eastAsia="仿宋"/>
                <w:kern w:val="0"/>
                <w:sz w:val="24"/>
                <w:szCs w:val="24"/>
              </w:rPr>
              <w:t>284000.00</w:t>
            </w:r>
          </w:p>
        </w:tc>
        <w:tc>
          <w:tcPr>
            <w:tcW w:w="1859" w:type="dxa"/>
            <w:vMerge w:val="continue"/>
          </w:tcPr>
          <w:p>
            <w:pPr>
              <w:spacing w:line="640" w:lineRule="exac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72" w:type="dxa"/>
            <w:vMerge w:val="continue"/>
          </w:tcPr>
          <w:p>
            <w:pPr>
              <w:spacing w:line="640" w:lineRule="exact"/>
              <w:jc w:val="center"/>
              <w:rPr>
                <w:rFonts w:ascii="仿宋" w:hAnsi="仿宋" w:eastAsia="仿宋"/>
                <w:kern w:val="0"/>
                <w:sz w:val="24"/>
                <w:szCs w:val="24"/>
              </w:rPr>
            </w:pPr>
          </w:p>
        </w:tc>
        <w:tc>
          <w:tcPr>
            <w:tcW w:w="799" w:type="dxa"/>
            <w:vAlign w:val="center"/>
          </w:tcPr>
          <w:p>
            <w:pPr>
              <w:spacing w:line="640" w:lineRule="exact"/>
              <w:jc w:val="center"/>
              <w:rPr>
                <w:rFonts w:ascii="仿宋" w:hAnsi="仿宋" w:eastAsia="仿宋"/>
                <w:kern w:val="0"/>
                <w:sz w:val="24"/>
                <w:szCs w:val="24"/>
              </w:rPr>
            </w:pPr>
            <w:r>
              <w:rPr>
                <w:rFonts w:ascii="仿宋" w:hAnsi="仿宋" w:eastAsia="仿宋"/>
                <w:kern w:val="0"/>
                <w:sz w:val="24"/>
                <w:szCs w:val="24"/>
              </w:rPr>
              <w:t>6</w:t>
            </w:r>
          </w:p>
        </w:tc>
        <w:tc>
          <w:tcPr>
            <w:tcW w:w="1908" w:type="dxa"/>
            <w:gridSpan w:val="2"/>
            <w:vAlign w:val="center"/>
          </w:tcPr>
          <w:p>
            <w:pPr>
              <w:spacing w:line="640" w:lineRule="exact"/>
              <w:jc w:val="center"/>
              <w:rPr>
                <w:rFonts w:ascii="仿宋" w:hAnsi="仿宋" w:eastAsia="仿宋"/>
                <w:kern w:val="0"/>
                <w:sz w:val="24"/>
                <w:szCs w:val="24"/>
              </w:rPr>
            </w:pPr>
            <w:r>
              <w:rPr>
                <w:rFonts w:hint="eastAsia" w:ascii="仿宋" w:hAnsi="仿宋" w:eastAsia="仿宋"/>
                <w:kern w:val="0"/>
                <w:sz w:val="24"/>
                <w:szCs w:val="24"/>
              </w:rPr>
              <w:t>5616</w:t>
            </w:r>
          </w:p>
        </w:tc>
        <w:tc>
          <w:tcPr>
            <w:tcW w:w="2280" w:type="dxa"/>
            <w:vAlign w:val="center"/>
          </w:tcPr>
          <w:p>
            <w:pPr>
              <w:spacing w:line="640" w:lineRule="exact"/>
              <w:jc w:val="center"/>
              <w:rPr>
                <w:rFonts w:ascii="仿宋" w:hAnsi="仿宋" w:eastAsia="仿宋"/>
                <w:kern w:val="0"/>
                <w:sz w:val="24"/>
                <w:szCs w:val="24"/>
              </w:rPr>
            </w:pPr>
            <w:r>
              <w:rPr>
                <w:rFonts w:hint="eastAsia" w:ascii="仿宋" w:hAnsi="仿宋" w:eastAsia="仿宋"/>
                <w:kern w:val="0"/>
                <w:sz w:val="24"/>
                <w:szCs w:val="24"/>
              </w:rPr>
              <w:t>870</w:t>
            </w:r>
            <w:r>
              <w:rPr>
                <w:rFonts w:ascii="仿宋" w:hAnsi="仿宋" w:eastAsia="仿宋"/>
                <w:kern w:val="0"/>
                <w:sz w:val="24"/>
                <w:szCs w:val="24"/>
              </w:rPr>
              <w:t>5</w:t>
            </w:r>
          </w:p>
        </w:tc>
        <w:tc>
          <w:tcPr>
            <w:tcW w:w="1932" w:type="dxa"/>
            <w:vAlign w:val="center"/>
          </w:tcPr>
          <w:p>
            <w:pPr>
              <w:spacing w:line="640" w:lineRule="exact"/>
              <w:jc w:val="center"/>
              <w:rPr>
                <w:rFonts w:ascii="仿宋" w:hAnsi="仿宋" w:eastAsia="仿宋"/>
                <w:kern w:val="0"/>
                <w:sz w:val="24"/>
                <w:szCs w:val="24"/>
              </w:rPr>
            </w:pPr>
            <w:r>
              <w:rPr>
                <w:rFonts w:hint="eastAsia" w:ascii="仿宋" w:hAnsi="仿宋" w:eastAsia="仿宋"/>
                <w:kern w:val="0"/>
                <w:sz w:val="24"/>
                <w:szCs w:val="24"/>
              </w:rPr>
              <w:t>596286.1</w:t>
            </w:r>
            <w:r>
              <w:rPr>
                <w:rFonts w:ascii="仿宋" w:hAnsi="仿宋" w:eastAsia="仿宋"/>
                <w:kern w:val="0"/>
                <w:sz w:val="24"/>
                <w:szCs w:val="24"/>
              </w:rPr>
              <w:t>0</w:t>
            </w:r>
          </w:p>
        </w:tc>
        <w:tc>
          <w:tcPr>
            <w:tcW w:w="1859" w:type="dxa"/>
            <w:vMerge w:val="continue"/>
          </w:tcPr>
          <w:p>
            <w:pPr>
              <w:spacing w:line="640" w:lineRule="exact"/>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9" w:type="dxa"/>
            <w:gridSpan w:val="3"/>
            <w:vAlign w:val="center"/>
          </w:tcPr>
          <w:p>
            <w:pPr>
              <w:spacing w:line="640" w:lineRule="exact"/>
              <w:jc w:val="center"/>
              <w:rPr>
                <w:rFonts w:ascii="仿宋" w:hAnsi="仿宋" w:eastAsia="仿宋"/>
                <w:kern w:val="0"/>
                <w:sz w:val="24"/>
                <w:szCs w:val="24"/>
              </w:rPr>
            </w:pPr>
            <w:r>
              <w:rPr>
                <w:rFonts w:hint="eastAsia" w:ascii="仿宋" w:hAnsi="仿宋" w:eastAsia="仿宋"/>
                <w:kern w:val="0"/>
                <w:sz w:val="24"/>
                <w:szCs w:val="24"/>
              </w:rPr>
              <w:t>棉花年经营量</w:t>
            </w:r>
          </w:p>
        </w:tc>
        <w:tc>
          <w:tcPr>
            <w:tcW w:w="1470" w:type="dxa"/>
            <w:vAlign w:val="center"/>
          </w:tcPr>
          <w:p>
            <w:pPr>
              <w:spacing w:line="640" w:lineRule="exact"/>
              <w:jc w:val="center"/>
              <w:rPr>
                <w:rFonts w:ascii="仿宋" w:hAnsi="仿宋" w:eastAsia="仿宋"/>
                <w:kern w:val="0"/>
                <w:sz w:val="24"/>
                <w:szCs w:val="24"/>
              </w:rPr>
            </w:pPr>
            <w:r>
              <w:rPr>
                <w:rFonts w:hint="eastAsia" w:ascii="仿宋" w:hAnsi="仿宋" w:eastAsia="仿宋"/>
                <w:kern w:val="0"/>
                <w:sz w:val="24"/>
                <w:szCs w:val="24"/>
              </w:rPr>
              <w:t>96040</w:t>
            </w:r>
          </w:p>
        </w:tc>
        <w:tc>
          <w:tcPr>
            <w:tcW w:w="2280" w:type="dxa"/>
            <w:vAlign w:val="center"/>
          </w:tcPr>
          <w:p>
            <w:pPr>
              <w:spacing w:line="640" w:lineRule="exact"/>
              <w:jc w:val="center"/>
              <w:rPr>
                <w:rFonts w:ascii="仿宋" w:hAnsi="仿宋" w:eastAsia="仿宋"/>
                <w:kern w:val="0"/>
                <w:sz w:val="24"/>
                <w:szCs w:val="24"/>
              </w:rPr>
            </w:pPr>
            <w:r>
              <w:rPr>
                <w:rFonts w:hint="eastAsia" w:ascii="仿宋" w:hAnsi="仿宋" w:eastAsia="仿宋"/>
                <w:kern w:val="0"/>
                <w:sz w:val="24"/>
                <w:szCs w:val="24"/>
              </w:rPr>
              <w:t>占用</w:t>
            </w:r>
            <w:r>
              <w:rPr>
                <w:rFonts w:ascii="仿宋" w:hAnsi="仿宋" w:eastAsia="仿宋"/>
                <w:kern w:val="0"/>
                <w:sz w:val="24"/>
                <w:szCs w:val="24"/>
              </w:rPr>
              <w:t>资金利息</w:t>
            </w:r>
          </w:p>
        </w:tc>
        <w:tc>
          <w:tcPr>
            <w:tcW w:w="1932" w:type="dxa"/>
            <w:vAlign w:val="center"/>
          </w:tcPr>
          <w:p>
            <w:pPr>
              <w:spacing w:line="640" w:lineRule="exact"/>
              <w:jc w:val="center"/>
              <w:rPr>
                <w:rFonts w:ascii="仿宋" w:hAnsi="仿宋" w:eastAsia="仿宋"/>
                <w:kern w:val="0"/>
                <w:sz w:val="24"/>
                <w:szCs w:val="24"/>
              </w:rPr>
            </w:pPr>
            <w:r>
              <w:rPr>
                <w:rFonts w:hint="eastAsia" w:ascii="仿宋" w:hAnsi="仿宋" w:eastAsia="仿宋"/>
                <w:kern w:val="0"/>
                <w:sz w:val="24"/>
                <w:szCs w:val="24"/>
              </w:rPr>
              <w:t>4095741.62</w:t>
            </w:r>
          </w:p>
        </w:tc>
        <w:tc>
          <w:tcPr>
            <w:tcW w:w="1859" w:type="dxa"/>
            <w:vMerge w:val="continue"/>
          </w:tcPr>
          <w:p>
            <w:pPr>
              <w:spacing w:line="640" w:lineRule="exact"/>
              <w:rPr>
                <w:rFonts w:ascii="仿宋" w:hAnsi="仿宋" w:eastAsia="仿宋"/>
                <w:kern w:val="0"/>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（四）项目效益情况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1.受益群体满意度。</w:t>
      </w:r>
      <w:r>
        <w:rPr>
          <w:rFonts w:hint="eastAsia" w:ascii="仿宋_GB2312" w:hAnsi="仿宋_GB2312" w:eastAsia="仿宋_GB2312" w:cs="仿宋_GB2312"/>
          <w:sz w:val="32"/>
          <w:szCs w:val="32"/>
        </w:rPr>
        <w:t>2008年汶川大地震、2013年雅安芦山大地震、2017年九寨沟地震、2019年宜宾珙县地震等，省政府、省民政厅及各受灾县对公司应急保供给予了极高的评价，也受到了群众的一致好评。2015年，凉山州越西县尔赛乡对公司提供棉被支持精准扶贫表示了由衷地感谢。2016年“走基层、送温暖”活动，确保了困难群众安全温暖过冬，相关应急组织工作得到了省直机关工委和各单位的高度肯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2.社会效果突出。经过</w:t>
      </w:r>
      <w:r>
        <w:rPr>
          <w:rFonts w:hint="eastAsia" w:ascii="仿宋_GB2312" w:hAnsi="仿宋_GB2312" w:eastAsia="仿宋_GB2312" w:cs="仿宋_GB2312"/>
          <w:sz w:val="32"/>
          <w:szCs w:val="32"/>
        </w:rPr>
        <w:t>多年的棉花省级储备，四川省棉麻集团有限公司已成为政府储得进、管得好、轮得出、用得上的强有力的市场调控“抓手”。</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一是为</w:t>
      </w:r>
      <w:r>
        <w:rPr>
          <w:rFonts w:hint="eastAsia" w:ascii="仿宋_GB2312" w:hAnsi="仿宋_GB2312" w:eastAsia="仿宋_GB2312" w:cs="仿宋_GB2312"/>
          <w:sz w:val="32"/>
          <w:szCs w:val="32"/>
        </w:rPr>
        <w:t>全省救灾扶贫等应急调控发挥了重要作用。2008年汶川大地震，向地震灾区调运救灾棉被40万余床，2013年雅安芦山大地震爆发三个工作日内，调运救灾棉被5万余床。2012、2013棉花年度，与中国储备棉总公司合作，开展棉花临时收储，收储量达30余万吨。2015年为越西县尔赛乡供应精准扶贫棉被。2016年，根据省委省政府要求，四川省棉麻集团有限公司承担全省“走基层、送温暖”棉被棉衣生产调运任务，短时间内调运棉被60万床、棉衣10万件，累计使用储备棉花1260吨，为全省扶贫攻坚、保障困难群众顺利过冬做出了巨大的贡献。2019年宜宾珙县地震，向地震灾区免费生产调运棉被1000床，保障了省内应急物资的供应，为抗震救灾做出积极贡献。</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二是为稳</w:t>
      </w:r>
      <w:r>
        <w:rPr>
          <w:rFonts w:hint="eastAsia" w:ascii="仿宋_GB2312" w:hAnsi="仿宋_GB2312" w:eastAsia="仿宋_GB2312" w:cs="仿宋_GB2312"/>
          <w:sz w:val="32"/>
          <w:szCs w:val="32"/>
        </w:rPr>
        <w:t>定省内棉花市场做出了巨大了贡献。公司从新疆调运棉花储备，既及时满足省内纺织企业用棉需求，更在省外市场价格大大高于省内时，进行轮出，平抑了省内棉价，避免了价格巨幅波动冲击纺织行业，保证了企业用得上与省外同行成本相当甚至更低的棉花原料，大大提高了省内纺织企业竞争力，为保持省内纺织工业持续稳定发展发挥了积极作用。</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三是为省内提供高质量的棉花供应，是四川省棉纺织行业协会副会长单位，带头树立了诚信经营、良心供棉形象，规范了流通秩序，杜绝了黑心棉等流入，保护了行业利益，履行了社会责任。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是监测全省棉花流通、消费动态，实时掌握我省棉花消费数据、市场价格、行业发展等数据，数据是当前西南地区棉花最权威、最准确的指数之一，为省发改委、财政厅、商务厅、纤检局等部门调控提供依据，并为国家监测提供支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五是带动了物流等相关产业发展。项目累计为社会提供就业岗位50个，带动运输</w:t>
      </w:r>
      <w:r>
        <w:rPr>
          <w:rFonts w:hint="eastAsia" w:ascii="仿宋_GB2312" w:hAnsi="仿宋_GB2312" w:eastAsia="仿宋_GB2312" w:cs="仿宋_GB2312"/>
          <w:sz w:val="32"/>
          <w:szCs w:val="32"/>
        </w:rPr>
        <w:t>、仓储等行业发展，转移农村剩余劳动力就业达200余人。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五、存在主要问题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sz w:val="32"/>
          <w:szCs w:val="32"/>
        </w:rPr>
        <w:t>（一）储备成本大幅上涨。</w:t>
      </w:r>
      <w:r>
        <w:rPr>
          <w:rFonts w:hint="eastAsia" w:ascii="仿宋_GB2312" w:hAnsi="仿宋_GB2312" w:eastAsia="仿宋_GB2312" w:cs="仿宋_GB2312"/>
          <w:sz w:val="32"/>
          <w:szCs w:val="32"/>
        </w:rPr>
        <w:t>储备的实施已十几个年头，人工、棉价、仓储等成本大幅上涨，以棉价为例，由2005年的13000元/吨上涨至2016年的17000元/吨，到2021年的16500元/吨，2010年甚至达3万元/吨，储备资金需求规模增大，但相关补助额度一直未作调整，远远低于企业的实际成本支出，企业资金压力极大。以2018、2019年为例，四川省棉麻集团有限公司分别调入棉花57739吨、86919吨，分别支出资金利息506万元、457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sz w:val="32"/>
          <w:szCs w:val="32"/>
        </w:rPr>
        <w:t>（二）应急需求急剧扩大。</w:t>
      </w:r>
      <w:r>
        <w:rPr>
          <w:rFonts w:hint="eastAsia" w:ascii="仿宋_GB2312" w:hAnsi="仿宋_GB2312" w:eastAsia="仿宋_GB2312" w:cs="仿宋_GB2312"/>
          <w:sz w:val="32"/>
          <w:szCs w:val="32"/>
        </w:rPr>
        <w:t>公司承担的应急任务不断加重，从2008年的40万床棉被，到2016年已增加到60万床棉被、10万件棉衣。</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sz w:val="32"/>
          <w:szCs w:val="32"/>
        </w:rPr>
        <w:t>（三）市场需求增加。</w:t>
      </w:r>
      <w:r>
        <w:rPr>
          <w:rFonts w:hint="eastAsia" w:ascii="方正楷体_GBK" w:hAnsi="方正楷体_GBK" w:eastAsia="方正楷体_GBK" w:cs="方正楷体_GBK"/>
          <w:sz w:val="32"/>
          <w:szCs w:val="32"/>
        </w:rPr>
        <w:t>近</w:t>
      </w:r>
      <w:r>
        <w:rPr>
          <w:rFonts w:hint="eastAsia" w:ascii="仿宋_GB2312" w:hAnsi="仿宋_GB2312" w:eastAsia="仿宋_GB2312" w:cs="仿宋_GB2312"/>
          <w:sz w:val="32"/>
          <w:szCs w:val="32"/>
        </w:rPr>
        <w:t>两年，四川省在乐山、宜宾、芦山设立了3个纺织产业集群地，大量纺织企业加速转移，大批知名企业和著名品牌落户我省，棉花需求量不断加大，发展后劲不断增强，全省棉花保障能力还需进一步提高。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六、相关措施建议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经过多年的棉花经营性滚动储备，棉花储备为全省提供高质量棉花供应、稳定省内棉花市场、提高全省救灾扶贫等应急调控发挥了重要作用。在提高棉花储备防风险方面提出一些意见和建议</w:t>
      </w:r>
      <w:r>
        <w:rPr>
          <w:rFonts w:hint="eastAsia" w:ascii="仿宋_GB2312" w:hAnsi="仿宋_GB2312" w:eastAsia="仿宋_GB2312" w:cs="仿宋_GB2312"/>
          <w:b w:val="0"/>
          <w:bCs w:val="0"/>
          <w:sz w:val="32"/>
          <w:szCs w:val="32"/>
        </w:rPr>
        <w:t>，一是随着近年来省级企业发展后劲不断增强，省级应急保供需求规模增加，应提高棉花经营性滚动储备规模，才能满足日益增长的市场需求和应急要求，建议棉花储备规模由3万吨/年增加至4.5万吨/年；二是综合多年全省纺织发展及应急用棉需求来看，棉花储备规模增加，储备资金需求规模增大，应适当增加贴息补助规模，建议将贴息提升至350万元/年；三是大力健全升级储备棉应急网络，充分利用现有资源和企业设施，构建以省</w:t>
      </w:r>
      <w:r>
        <w:rPr>
          <w:rFonts w:hint="eastAsia" w:ascii="仿宋_GB2312" w:hAnsi="仿宋_GB2312" w:eastAsia="仿宋_GB2312" w:cs="仿宋_GB2312"/>
          <w:sz w:val="32"/>
          <w:szCs w:val="32"/>
        </w:rPr>
        <w:t>级骨干经营企业为龙头，以企业流通投放网络为基础，以覆盖全省主要纺织集聚地为目标，棉花收购加工、储运、供应、深加工等各环节协调配套的新型棉花储备网络，形成布局合理、设施完备、运转高效、保障有力的棉花平急保障体系。</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ascii="方正小标宋简体" w:hAnsi="宋体" w:eastAsia="方正小标宋简体"/>
          <w:color w:val="auto"/>
          <w:sz w:val="44"/>
          <w:szCs w:val="44"/>
          <w:highlight w:val="none"/>
        </w:rPr>
      </w:pPr>
      <w:r>
        <w:rPr>
          <w:rFonts w:hint="eastAsia" w:ascii="方正小标宋简体" w:hAnsi="宋体" w:eastAsia="方正小标宋简体"/>
          <w:color w:val="auto"/>
          <w:sz w:val="44"/>
          <w:szCs w:val="44"/>
          <w:highlight w:val="none"/>
          <w:lang w:val="en-US" w:eastAsia="zh-CN"/>
        </w:rPr>
        <w:t>2020年部门预算项目支出绩效自评报告</w:t>
      </w:r>
    </w:p>
    <w:p>
      <w:pPr>
        <w:keepNext w:val="0"/>
        <w:keepLines w:val="0"/>
        <w:pageBreakBefore w:val="0"/>
        <w:widowControl w:val="0"/>
        <w:tabs>
          <w:tab w:val="left" w:pos="3885"/>
        </w:tabs>
        <w:kinsoku/>
        <w:wordWrap/>
        <w:overflowPunct/>
        <w:topLinePunct w:val="0"/>
        <w:autoSpaceDE/>
        <w:autoSpaceDN/>
        <w:bidi w:val="0"/>
        <w:adjustRightInd w:val="0"/>
        <w:snapToGrid w:val="0"/>
        <w:spacing w:line="560" w:lineRule="exact"/>
        <w:jc w:val="center"/>
        <w:textAlignment w:val="auto"/>
        <w:outlineLvl w:val="9"/>
        <w:rPr>
          <w:rFonts w:hint="eastAsia" w:hAnsi="宋体" w:eastAsia="仿宋_GB2312"/>
          <w:color w:val="auto"/>
          <w:sz w:val="32"/>
          <w:szCs w:val="32"/>
          <w:highlight w:val="none"/>
        </w:rPr>
      </w:pPr>
      <w:r>
        <w:rPr>
          <w:rFonts w:hint="eastAsia" w:hAnsi="宋体" w:eastAsia="仿宋_GB2312"/>
          <w:color w:val="auto"/>
          <w:sz w:val="32"/>
          <w:szCs w:val="32"/>
          <w:highlight w:val="none"/>
        </w:rPr>
        <w:t>（省级</w:t>
      </w:r>
      <w:r>
        <w:rPr>
          <w:rFonts w:hint="eastAsia" w:hAnsi="宋体" w:eastAsia="仿宋_GB2312"/>
          <w:color w:val="auto"/>
          <w:sz w:val="32"/>
          <w:szCs w:val="32"/>
          <w:highlight w:val="none"/>
          <w:lang w:val="en-US" w:eastAsia="zh-CN"/>
        </w:rPr>
        <w:t>化肥</w:t>
      </w:r>
      <w:r>
        <w:rPr>
          <w:rFonts w:hint="eastAsia" w:hAnsi="宋体" w:eastAsia="仿宋_GB2312"/>
          <w:color w:val="auto"/>
          <w:sz w:val="32"/>
          <w:szCs w:val="32"/>
          <w:highlight w:val="none"/>
        </w:rPr>
        <w:t>储备贴息项目）</w:t>
      </w:r>
    </w:p>
    <w:p>
      <w:pPr>
        <w:keepNext w:val="0"/>
        <w:keepLines w:val="0"/>
        <w:pageBreakBefore w:val="0"/>
        <w:widowControl w:val="0"/>
        <w:tabs>
          <w:tab w:val="left" w:pos="3885"/>
        </w:tabs>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仿宋_GB2312" w:hAnsi="仿宋_GB2312" w:eastAsia="仿宋_GB2312" w:cs="仿宋_GB2312"/>
          <w:b/>
          <w:sz w:val="32"/>
          <w:szCs w:val="32"/>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sz w:val="32"/>
          <w:szCs w:val="32"/>
          <w:lang w:val="en-US" w:eastAsia="zh-CN"/>
        </w:rPr>
      </w:pPr>
      <w:r>
        <w:rPr>
          <w:rFonts w:hint="eastAsia" w:hAnsi="仿宋_GB2312" w:cs="仿宋_GB2312"/>
          <w:b/>
          <w:sz w:val="32"/>
          <w:szCs w:val="32"/>
          <w:lang w:val="en-US" w:eastAsia="zh-CN"/>
        </w:rPr>
        <w:t xml:space="preserve">   </w:t>
      </w:r>
      <w:r>
        <w:rPr>
          <w:rFonts w:hint="eastAsia" w:hAnsi="仿宋_GB2312" w:cs="仿宋_GB2312"/>
          <w:b w:val="0"/>
          <w:bCs/>
          <w:sz w:val="32"/>
          <w:szCs w:val="32"/>
          <w:lang w:val="en-US" w:eastAsia="zh-CN"/>
        </w:rPr>
        <w:t xml:space="preserve"> 根据绩效评价工作的相关要求，我社对省级化肥储备项目进行了绩效自评，现将情况报告如下：</w:t>
      </w:r>
    </w:p>
    <w:p>
      <w:pPr>
        <w:keepNext w:val="0"/>
        <w:keepLines w:val="0"/>
        <w:pageBreakBefore w:val="0"/>
        <w:widowControl w:val="0"/>
        <w:numPr>
          <w:ilvl w:val="0"/>
          <w:numId w:val="0"/>
        </w:numPr>
        <w:tabs>
          <w:tab w:val="left" w:pos="3885"/>
        </w:tabs>
        <w:kinsoku/>
        <w:wordWrap/>
        <w:overflowPunct/>
        <w:topLinePunct w:val="0"/>
        <w:autoSpaceDE/>
        <w:autoSpaceDN/>
        <w:bidi w:val="0"/>
        <w:adjustRightInd/>
        <w:snapToGrid w:val="0"/>
        <w:spacing w:line="580" w:lineRule="exact"/>
        <w:ind w:firstLine="640" w:firstLineChars="200"/>
        <w:jc w:val="left"/>
        <w:textAlignment w:val="auto"/>
        <w:outlineLvl w:val="9"/>
        <w:rPr>
          <w:rFonts w:hint="default" w:ascii="黑体" w:hAnsi="宋体" w:eastAsia="黑体"/>
          <w:sz w:val="32"/>
          <w:szCs w:val="32"/>
          <w:lang w:val="en-US" w:eastAsia="zh-CN"/>
        </w:rPr>
      </w:pPr>
      <w:r>
        <w:rPr>
          <w:rFonts w:hint="eastAsia" w:ascii="黑体" w:hAnsi="宋体" w:eastAsia="黑体"/>
          <w:sz w:val="32"/>
          <w:szCs w:val="32"/>
          <w:lang w:val="en-US" w:eastAsia="zh-CN"/>
        </w:rPr>
        <w:t>一、基本情况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楷体_GB2312" w:hAnsi="宋体" w:eastAsia="楷体_GB2312"/>
          <w:b/>
          <w:sz w:val="32"/>
          <w:szCs w:val="32"/>
          <w:lang w:val="en-US" w:eastAsia="zh-CN"/>
        </w:rPr>
      </w:pPr>
      <w:r>
        <w:rPr>
          <w:rFonts w:hint="eastAsia" w:ascii="楷体_GB2312" w:hAnsi="宋体" w:eastAsia="楷体_GB2312"/>
          <w:b/>
          <w:sz w:val="32"/>
          <w:szCs w:val="32"/>
          <w:lang w:eastAsia="zh-CN"/>
        </w:rPr>
        <w:t>（</w:t>
      </w:r>
      <w:r>
        <w:rPr>
          <w:rFonts w:hint="eastAsia" w:ascii="楷体_GB2312" w:hAnsi="宋体" w:eastAsia="楷体_GB2312"/>
          <w:b/>
          <w:sz w:val="32"/>
          <w:szCs w:val="32"/>
          <w:lang w:val="en-US" w:eastAsia="zh-CN"/>
        </w:rPr>
        <w:t>一</w:t>
      </w:r>
      <w:r>
        <w:rPr>
          <w:rFonts w:hint="eastAsia" w:ascii="楷体_GB2312" w:hAnsi="宋体" w:eastAsia="楷体_GB2312"/>
          <w:b/>
          <w:sz w:val="32"/>
          <w:szCs w:val="32"/>
          <w:lang w:eastAsia="zh-CN"/>
        </w:rPr>
        <w:t>）</w:t>
      </w:r>
      <w:r>
        <w:rPr>
          <w:rFonts w:hint="eastAsia" w:ascii="楷体_GB2312" w:hAnsi="宋体" w:eastAsia="楷体_GB2312"/>
          <w:b/>
          <w:sz w:val="32"/>
          <w:szCs w:val="32"/>
          <w:lang w:val="en-US" w:eastAsia="zh-CN"/>
        </w:rPr>
        <w:t>项目概况及实施情况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省级化肥储备制度相关内容，我省省级化肥储备为商业储备，化肥年度储备总量为30万吨，储备期间，化肥累计调入量不少于任务量的1.5倍，月末平均库存量不少于10万吨。储备品种原则上按农业生产区域用肥的需求进行配置。储备化肥以尿素、钾肥、复合肥（含磷酸一、二铵、有机无机复混肥）、有机肥、水溶肥、碳铵、磷肥等化肥为主，储备期限为六个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2019—2020年省级化肥储备期为2019年11月至2020年4月。承储期满后，省社委托中介对承担2019年至2020年省级化肥商业储备任务完成情况进行了审计评价。根据审计评价，项目承储企业</w:t>
      </w:r>
      <w:r>
        <w:rPr>
          <w:rFonts w:hint="eastAsia" w:ascii="仿宋_GB2312" w:hAnsi="仿宋_GB2312" w:eastAsia="仿宋_GB2312" w:cs="仿宋_GB2312"/>
          <w:sz w:val="32"/>
          <w:szCs w:val="32"/>
        </w:rPr>
        <w:t>邦力达</w:t>
      </w:r>
      <w:r>
        <w:rPr>
          <w:rFonts w:hint="eastAsia" w:ascii="仿宋_GB2312" w:hAnsi="仿宋_GB2312" w:eastAsia="仿宋_GB2312" w:cs="仿宋_GB2312"/>
          <w:sz w:val="32"/>
          <w:szCs w:val="32"/>
          <w:lang w:val="en-US" w:eastAsia="zh-CN"/>
        </w:rPr>
        <w:t>农资连锁有限</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以下简称：邦力达公司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及其子公司在储备期间，累计调入量为128.18万吨，完成了省级化肥储备任务。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楷体_GB2312" w:hAnsi="宋体" w:eastAsia="楷体_GB2312"/>
          <w:b/>
          <w:sz w:val="32"/>
          <w:szCs w:val="32"/>
          <w:lang w:val="en-US" w:eastAsia="zh-CN"/>
        </w:rPr>
      </w:pPr>
      <w:r>
        <w:rPr>
          <w:rFonts w:hint="eastAsia" w:ascii="楷体_GB2312" w:hAnsi="宋体" w:eastAsia="楷体_GB2312"/>
          <w:b/>
          <w:sz w:val="32"/>
          <w:szCs w:val="32"/>
          <w:lang w:val="en-US" w:eastAsia="zh-CN"/>
        </w:rPr>
        <w:t>（二）资金投入使用情况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初部门预算安排760万元，根据《关于申请拨付2020年省级供销综合改革及发展专项资金用于补充化肥和棉花商业储备贴息补助的函》，省财政拨付500万元用于疫情期间的稳价保供，其中补助化肥储备贴息补助300万元。公司已投入资金完成储备任务，省级化肥储备2019—2020年度补贴资金合计1060万元也已到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二、评价工作开展情况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邦力达公司</w:t>
      </w:r>
      <w:r>
        <w:rPr>
          <w:rFonts w:hint="eastAsia" w:ascii="仿宋_GB2312" w:hAnsi="仿宋_GB2312" w:eastAsia="仿宋_GB2312" w:cs="仿宋_GB2312"/>
          <w:sz w:val="32"/>
          <w:szCs w:val="32"/>
        </w:rPr>
        <w:t>具备货源保障能力、调运能力、仓储能力、经营规模、全省销售网络等能力。面对四川冬储形势的变化，公司加强采购力度，及时调整经营思路，千方百计组织春耕货源。在去冬今春，为保证春耕农资货源的到位，努力克服市场波动大、价格高位运行、风险大等困难，走工厂，跑市场，积极与省内外化肥生产企业落实货源。通过省储政策撬动，公司有效地放大了经营规模，确保了市场价格稳定，保障了市场供应，全面完成了化肥储备任务。本年度具体承储情况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公司2019/2020年度化肥储备经营情况如下（单位：吨）：</w:t>
      </w:r>
    </w:p>
    <w:tbl>
      <w:tblPr>
        <w:tblStyle w:val="13"/>
        <w:tblW w:w="8646" w:type="dxa"/>
        <w:tblInd w:w="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9"/>
        <w:gridCol w:w="1639"/>
        <w:gridCol w:w="1708"/>
        <w:gridCol w:w="1823"/>
        <w:gridCol w:w="17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1699" w:type="dxa"/>
            <w:vAlign w:val="bottom"/>
          </w:tcPr>
          <w:p>
            <w:pPr>
              <w:adjustRightInd w:val="0"/>
              <w:snapToGrid w:val="0"/>
              <w:spacing w:line="560" w:lineRule="atLeast"/>
              <w:jc w:val="center"/>
              <w:rPr>
                <w:rFonts w:hint="eastAsia" w:ascii="仿宋_GB2312" w:eastAsia="仿宋_GB2312"/>
                <w:sz w:val="24"/>
                <w:szCs w:val="24"/>
              </w:rPr>
            </w:pPr>
            <w:r>
              <w:rPr>
                <w:rFonts w:hint="eastAsia" w:ascii="仿宋_GB2312" w:eastAsia="仿宋_GB2312"/>
                <w:sz w:val="24"/>
                <w:szCs w:val="24"/>
              </w:rPr>
              <w:t>承储年度</w:t>
            </w:r>
          </w:p>
        </w:tc>
        <w:tc>
          <w:tcPr>
            <w:tcW w:w="1639" w:type="dxa"/>
            <w:vAlign w:val="bottom"/>
          </w:tcPr>
          <w:p>
            <w:pPr>
              <w:adjustRightInd w:val="0"/>
              <w:snapToGrid w:val="0"/>
              <w:spacing w:line="560" w:lineRule="atLeast"/>
              <w:jc w:val="center"/>
              <w:rPr>
                <w:rFonts w:hint="eastAsia" w:ascii="仿宋_GB2312" w:eastAsia="仿宋_GB2312"/>
                <w:sz w:val="24"/>
                <w:szCs w:val="24"/>
              </w:rPr>
            </w:pPr>
            <w:r>
              <w:rPr>
                <w:rFonts w:hint="eastAsia" w:ascii="仿宋_GB2312" w:eastAsia="仿宋_GB2312"/>
                <w:sz w:val="24"/>
                <w:szCs w:val="24"/>
              </w:rPr>
              <w:t>期初库存</w:t>
            </w:r>
          </w:p>
        </w:tc>
        <w:tc>
          <w:tcPr>
            <w:tcW w:w="1708" w:type="dxa"/>
            <w:vAlign w:val="bottom"/>
          </w:tcPr>
          <w:p>
            <w:pPr>
              <w:adjustRightInd w:val="0"/>
              <w:snapToGrid w:val="0"/>
              <w:spacing w:line="560" w:lineRule="atLeast"/>
              <w:jc w:val="center"/>
              <w:rPr>
                <w:rFonts w:hint="eastAsia" w:ascii="仿宋_GB2312" w:eastAsia="仿宋_GB2312"/>
                <w:sz w:val="24"/>
                <w:szCs w:val="24"/>
              </w:rPr>
            </w:pPr>
            <w:r>
              <w:rPr>
                <w:rFonts w:hint="eastAsia" w:ascii="仿宋_GB2312" w:eastAsia="仿宋_GB2312"/>
                <w:sz w:val="24"/>
                <w:szCs w:val="24"/>
              </w:rPr>
              <w:t>累计调入</w:t>
            </w:r>
          </w:p>
        </w:tc>
        <w:tc>
          <w:tcPr>
            <w:tcW w:w="1823" w:type="dxa"/>
            <w:vAlign w:val="bottom"/>
          </w:tcPr>
          <w:p>
            <w:pPr>
              <w:adjustRightInd w:val="0"/>
              <w:snapToGrid w:val="0"/>
              <w:spacing w:line="560" w:lineRule="atLeast"/>
              <w:jc w:val="center"/>
              <w:rPr>
                <w:rFonts w:hint="eastAsia" w:ascii="仿宋_GB2312" w:eastAsia="仿宋_GB2312"/>
                <w:sz w:val="24"/>
                <w:szCs w:val="24"/>
              </w:rPr>
            </w:pPr>
            <w:r>
              <w:rPr>
                <w:rFonts w:hint="eastAsia" w:ascii="仿宋_GB2312" w:eastAsia="仿宋_GB2312"/>
                <w:sz w:val="24"/>
                <w:szCs w:val="24"/>
              </w:rPr>
              <w:t>累计调出</w:t>
            </w:r>
          </w:p>
        </w:tc>
        <w:tc>
          <w:tcPr>
            <w:tcW w:w="1777" w:type="dxa"/>
          </w:tcPr>
          <w:p>
            <w:pPr>
              <w:adjustRightInd w:val="0"/>
              <w:snapToGrid w:val="0"/>
              <w:spacing w:line="560" w:lineRule="atLeast"/>
              <w:jc w:val="center"/>
              <w:rPr>
                <w:rFonts w:hint="eastAsia" w:ascii="仿宋_GB2312" w:eastAsia="仿宋_GB2312"/>
                <w:sz w:val="28"/>
                <w:szCs w:val="28"/>
              </w:rPr>
            </w:pPr>
            <w:r>
              <w:rPr>
                <w:rFonts w:hint="eastAsia" w:ascii="仿宋_GB2312" w:eastAsia="仿宋_GB2312"/>
                <w:sz w:val="24"/>
                <w:szCs w:val="24"/>
              </w:rPr>
              <w:t>期末平均库存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1699" w:type="dxa"/>
            <w:vAlign w:val="top"/>
          </w:tcPr>
          <w:p>
            <w:pPr>
              <w:adjustRightInd w:val="0"/>
              <w:snapToGrid w:val="0"/>
              <w:spacing w:line="560" w:lineRule="atLeast"/>
              <w:jc w:val="center"/>
              <w:rPr>
                <w:rFonts w:hint="default" w:ascii="仿宋_GB2312" w:eastAsia="仿宋_GB2312"/>
                <w:sz w:val="28"/>
                <w:szCs w:val="28"/>
                <w:lang w:val="en-US" w:eastAsia="zh-CN"/>
              </w:rPr>
            </w:pPr>
            <w:r>
              <w:rPr>
                <w:rFonts w:hint="eastAsia" w:ascii="仿宋_GB2312" w:hAnsi="宋体" w:eastAsia="仿宋_GB2312"/>
                <w:color w:val="000000"/>
                <w:sz w:val="24"/>
                <w:szCs w:val="24"/>
                <w:lang w:val="en-US" w:eastAsia="zh-CN"/>
              </w:rPr>
              <w:t>2019/2020年</w:t>
            </w:r>
          </w:p>
        </w:tc>
        <w:tc>
          <w:tcPr>
            <w:tcW w:w="1639" w:type="dxa"/>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olor w:val="000000"/>
                <w:sz w:val="24"/>
                <w:szCs w:val="24"/>
              </w:rPr>
              <w:t>140,960.84</w:t>
            </w:r>
          </w:p>
        </w:tc>
        <w:tc>
          <w:tcPr>
            <w:tcW w:w="1708" w:type="dxa"/>
            <w:vAlign w:val="center"/>
          </w:tcPr>
          <w:p>
            <w:pP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1,281,858.45</w:t>
            </w:r>
          </w:p>
        </w:tc>
        <w:tc>
          <w:tcPr>
            <w:tcW w:w="1823" w:type="dxa"/>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olor w:val="000000"/>
                <w:sz w:val="24"/>
                <w:szCs w:val="24"/>
              </w:rPr>
              <w:t>1,154,213.60</w:t>
            </w:r>
          </w:p>
        </w:tc>
        <w:tc>
          <w:tcPr>
            <w:tcW w:w="1777" w:type="dxa"/>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olor w:val="000000"/>
                <w:sz w:val="24"/>
                <w:szCs w:val="24"/>
              </w:rPr>
              <w:t>214,493.30</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960" w:firstLineChars="300"/>
        <w:textAlignment w:val="auto"/>
        <w:outlineLvl w:val="9"/>
        <w:rPr>
          <w:rFonts w:hint="eastAsia" w:ascii="黑体" w:hAnsi="宋体" w:eastAsia="黑体"/>
          <w:szCs w:val="21"/>
          <w:lang w:eastAsia="zh-CN"/>
        </w:rPr>
      </w:pPr>
      <w:r>
        <w:rPr>
          <w:rFonts w:hint="eastAsia" w:ascii="黑体" w:hAnsi="宋体" w:eastAsia="黑体"/>
          <w:sz w:val="32"/>
          <w:szCs w:val="32"/>
          <w:lang w:val="en-US" w:eastAsia="zh-CN"/>
        </w:rPr>
        <w:t>三、</w:t>
      </w:r>
      <w:r>
        <w:rPr>
          <w:rFonts w:hint="eastAsia" w:ascii="黑体" w:hAnsi="宋体" w:eastAsia="黑体"/>
          <w:sz w:val="32"/>
          <w:szCs w:val="32"/>
          <w:lang w:eastAsia="zh-CN"/>
        </w:rPr>
        <w:t>综合</w:t>
      </w:r>
      <w:r>
        <w:rPr>
          <w:rFonts w:hint="eastAsia" w:ascii="黑体" w:hAnsi="宋体" w:eastAsia="黑体"/>
          <w:sz w:val="32"/>
          <w:szCs w:val="32"/>
        </w:rPr>
        <w:t>评价结论</w:t>
      </w:r>
      <w:r>
        <w:rPr>
          <w:rFonts w:hint="eastAsia" w:ascii="黑体" w:hAnsi="宋体" w:eastAsia="黑体"/>
          <w:sz w:val="32"/>
          <w:szCs w:val="32"/>
          <w:lang w:eastAsia="zh-CN"/>
        </w:rPr>
        <w:t>（附评分表）</w:t>
      </w:r>
    </w:p>
    <w:tbl>
      <w:tblPr>
        <w:tblStyle w:val="13"/>
        <w:tblW w:w="8712"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500"/>
        <w:gridCol w:w="1776"/>
        <w:gridCol w:w="876"/>
        <w:gridCol w:w="84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08" w:type="dxa"/>
            <w:shd w:val="clear" w:color="auto" w:fill="auto"/>
            <w:noWrap w:val="0"/>
            <w:vAlign w:val="center"/>
          </w:tcPr>
          <w:p>
            <w:pPr>
              <w:widowControl/>
              <w:snapToGrid w:val="0"/>
              <w:spacing w:line="640" w:lineRule="exact"/>
              <w:jc w:val="center"/>
              <w:rPr>
                <w:rFonts w:eastAsia="宋体"/>
                <w:b/>
                <w:kern w:val="0"/>
                <w:sz w:val="24"/>
                <w:szCs w:val="24"/>
              </w:rPr>
            </w:pPr>
            <w:r>
              <w:rPr>
                <w:rFonts w:eastAsia="宋体"/>
                <w:b/>
                <w:kern w:val="0"/>
                <w:sz w:val="24"/>
                <w:szCs w:val="24"/>
              </w:rPr>
              <w:t>一级指标</w:t>
            </w:r>
          </w:p>
        </w:tc>
        <w:tc>
          <w:tcPr>
            <w:tcW w:w="1500" w:type="dxa"/>
            <w:shd w:val="clear" w:color="auto" w:fill="auto"/>
            <w:noWrap w:val="0"/>
            <w:vAlign w:val="center"/>
          </w:tcPr>
          <w:p>
            <w:pPr>
              <w:widowControl/>
              <w:snapToGrid w:val="0"/>
              <w:spacing w:line="640" w:lineRule="exact"/>
              <w:jc w:val="center"/>
              <w:rPr>
                <w:rFonts w:eastAsia="宋体"/>
                <w:b/>
                <w:bCs/>
                <w:kern w:val="0"/>
                <w:sz w:val="24"/>
                <w:szCs w:val="24"/>
              </w:rPr>
            </w:pPr>
            <w:r>
              <w:rPr>
                <w:rFonts w:eastAsia="宋体"/>
                <w:b/>
                <w:bCs/>
                <w:kern w:val="0"/>
                <w:sz w:val="24"/>
                <w:szCs w:val="24"/>
              </w:rPr>
              <w:t>二级指标</w:t>
            </w:r>
          </w:p>
        </w:tc>
        <w:tc>
          <w:tcPr>
            <w:tcW w:w="1776" w:type="dxa"/>
            <w:shd w:val="clear" w:color="auto" w:fill="auto"/>
            <w:noWrap w:val="0"/>
            <w:vAlign w:val="center"/>
          </w:tcPr>
          <w:p>
            <w:pPr>
              <w:widowControl/>
              <w:snapToGrid w:val="0"/>
              <w:spacing w:line="640" w:lineRule="exact"/>
              <w:jc w:val="center"/>
              <w:rPr>
                <w:rFonts w:eastAsia="宋体"/>
                <w:b/>
                <w:bCs/>
                <w:kern w:val="0"/>
                <w:sz w:val="24"/>
                <w:szCs w:val="24"/>
              </w:rPr>
            </w:pPr>
            <w:r>
              <w:rPr>
                <w:rFonts w:eastAsia="宋体"/>
                <w:b/>
                <w:bCs/>
                <w:kern w:val="0"/>
                <w:sz w:val="24"/>
                <w:szCs w:val="24"/>
              </w:rPr>
              <w:t>三级指标</w:t>
            </w:r>
          </w:p>
        </w:tc>
        <w:tc>
          <w:tcPr>
            <w:tcW w:w="876" w:type="dxa"/>
            <w:shd w:val="clear" w:color="auto" w:fill="auto"/>
            <w:noWrap w:val="0"/>
            <w:vAlign w:val="center"/>
          </w:tcPr>
          <w:p>
            <w:pPr>
              <w:widowControl/>
              <w:snapToGrid w:val="0"/>
              <w:spacing w:line="640" w:lineRule="exact"/>
              <w:jc w:val="center"/>
              <w:rPr>
                <w:rFonts w:eastAsia="宋体"/>
                <w:b/>
                <w:bCs/>
                <w:kern w:val="0"/>
                <w:sz w:val="24"/>
                <w:szCs w:val="24"/>
              </w:rPr>
            </w:pPr>
            <w:r>
              <w:rPr>
                <w:rFonts w:eastAsia="宋体"/>
                <w:b/>
                <w:bCs/>
                <w:kern w:val="0"/>
                <w:sz w:val="24"/>
                <w:szCs w:val="24"/>
              </w:rPr>
              <w:t>分值</w:t>
            </w:r>
          </w:p>
        </w:tc>
        <w:tc>
          <w:tcPr>
            <w:tcW w:w="840" w:type="dxa"/>
            <w:shd w:val="clear" w:color="auto" w:fill="auto"/>
            <w:noWrap w:val="0"/>
            <w:vAlign w:val="center"/>
          </w:tcPr>
          <w:p>
            <w:pPr>
              <w:widowControl/>
              <w:snapToGrid w:val="0"/>
              <w:spacing w:line="640" w:lineRule="exact"/>
              <w:jc w:val="center"/>
              <w:rPr>
                <w:rFonts w:eastAsia="宋体"/>
                <w:b/>
                <w:bCs/>
                <w:kern w:val="0"/>
                <w:sz w:val="24"/>
                <w:szCs w:val="24"/>
              </w:rPr>
            </w:pPr>
            <w:r>
              <w:rPr>
                <w:rFonts w:eastAsia="宋体"/>
                <w:b/>
                <w:bCs/>
                <w:kern w:val="0"/>
                <w:sz w:val="24"/>
                <w:szCs w:val="24"/>
              </w:rPr>
              <w:t>得分</w:t>
            </w:r>
          </w:p>
        </w:tc>
        <w:tc>
          <w:tcPr>
            <w:tcW w:w="2412" w:type="dxa"/>
            <w:shd w:val="clear" w:color="auto" w:fill="auto"/>
            <w:noWrap w:val="0"/>
            <w:vAlign w:val="center"/>
          </w:tcPr>
          <w:p>
            <w:pPr>
              <w:widowControl/>
              <w:snapToGrid w:val="0"/>
              <w:spacing w:line="640" w:lineRule="exact"/>
              <w:jc w:val="center"/>
              <w:rPr>
                <w:rFonts w:eastAsia="宋体"/>
                <w:b/>
                <w:bCs/>
                <w:kern w:val="0"/>
                <w:sz w:val="24"/>
                <w:szCs w:val="24"/>
              </w:rPr>
            </w:pPr>
            <w:r>
              <w:rPr>
                <w:rFonts w:hint="eastAsia" w:eastAsia="宋体"/>
                <w:b/>
                <w:bCs/>
                <w:kern w:val="0"/>
                <w:sz w:val="24"/>
                <w:szCs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08" w:type="dxa"/>
            <w:vMerge w:val="restart"/>
            <w:shd w:val="clear" w:color="auto" w:fill="auto"/>
            <w:noWrap w:val="0"/>
            <w:vAlign w:val="center"/>
          </w:tcPr>
          <w:p>
            <w:pPr>
              <w:widowControl/>
              <w:snapToGrid w:val="0"/>
              <w:spacing w:line="640" w:lineRule="exact"/>
              <w:jc w:val="center"/>
              <w:rPr>
                <w:rFonts w:eastAsia="宋体"/>
                <w:kern w:val="0"/>
                <w:sz w:val="21"/>
                <w:szCs w:val="21"/>
              </w:rPr>
            </w:pPr>
            <w:r>
              <w:rPr>
                <w:rFonts w:hint="eastAsia" w:eastAsia="宋体"/>
                <w:kern w:val="0"/>
                <w:sz w:val="21"/>
                <w:szCs w:val="21"/>
              </w:rPr>
              <w:t>通用指标（30/30分）</w:t>
            </w:r>
          </w:p>
        </w:tc>
        <w:tc>
          <w:tcPr>
            <w:tcW w:w="1500" w:type="dxa"/>
            <w:vMerge w:val="restart"/>
            <w:shd w:val="clear" w:color="auto" w:fill="auto"/>
            <w:noWrap w:val="0"/>
            <w:vAlign w:val="center"/>
          </w:tcPr>
          <w:p>
            <w:pPr>
              <w:widowControl/>
              <w:snapToGrid w:val="0"/>
              <w:spacing w:line="640" w:lineRule="exact"/>
              <w:jc w:val="center"/>
              <w:rPr>
                <w:rFonts w:eastAsia="宋体"/>
                <w:b/>
                <w:bCs/>
                <w:kern w:val="0"/>
                <w:sz w:val="21"/>
                <w:szCs w:val="21"/>
              </w:rPr>
            </w:pPr>
            <w:r>
              <w:rPr>
                <w:rFonts w:hint="eastAsia" w:eastAsia="宋体"/>
                <w:kern w:val="0"/>
                <w:sz w:val="21"/>
                <w:szCs w:val="21"/>
              </w:rPr>
              <w:t>项目决策（8/8分）</w:t>
            </w:r>
          </w:p>
        </w:tc>
        <w:tc>
          <w:tcPr>
            <w:tcW w:w="1776" w:type="dxa"/>
            <w:shd w:val="clear" w:color="auto" w:fill="auto"/>
            <w:noWrap w:val="0"/>
            <w:vAlign w:val="center"/>
          </w:tcPr>
          <w:p>
            <w:pPr>
              <w:widowControl/>
              <w:snapToGrid w:val="0"/>
              <w:spacing w:line="640" w:lineRule="exact"/>
              <w:jc w:val="center"/>
              <w:rPr>
                <w:rFonts w:eastAsia="宋体"/>
                <w:kern w:val="0"/>
                <w:sz w:val="21"/>
                <w:szCs w:val="21"/>
              </w:rPr>
            </w:pPr>
            <w:r>
              <w:rPr>
                <w:rFonts w:hint="eastAsia" w:eastAsia="宋体"/>
                <w:kern w:val="0"/>
                <w:sz w:val="21"/>
                <w:szCs w:val="21"/>
              </w:rPr>
              <w:t>程序严密</w:t>
            </w:r>
          </w:p>
        </w:tc>
        <w:tc>
          <w:tcPr>
            <w:tcW w:w="876" w:type="dxa"/>
            <w:shd w:val="clear" w:color="auto" w:fill="auto"/>
            <w:noWrap w:val="0"/>
            <w:vAlign w:val="center"/>
          </w:tcPr>
          <w:p>
            <w:pPr>
              <w:widowControl/>
              <w:snapToGrid w:val="0"/>
              <w:spacing w:line="640" w:lineRule="exact"/>
              <w:jc w:val="center"/>
              <w:rPr>
                <w:rFonts w:hint="eastAsia" w:eastAsia="宋体"/>
                <w:kern w:val="0"/>
                <w:sz w:val="21"/>
                <w:szCs w:val="21"/>
              </w:rPr>
            </w:pPr>
            <w:r>
              <w:rPr>
                <w:rFonts w:hint="eastAsia" w:eastAsia="宋体"/>
                <w:kern w:val="0"/>
                <w:sz w:val="21"/>
                <w:szCs w:val="21"/>
              </w:rPr>
              <w:t>4</w:t>
            </w:r>
          </w:p>
        </w:tc>
        <w:tc>
          <w:tcPr>
            <w:tcW w:w="840" w:type="dxa"/>
            <w:shd w:val="clear" w:color="auto" w:fill="auto"/>
            <w:noWrap w:val="0"/>
            <w:vAlign w:val="center"/>
          </w:tcPr>
          <w:p>
            <w:pPr>
              <w:widowControl/>
              <w:spacing w:line="640" w:lineRule="exact"/>
              <w:jc w:val="center"/>
              <w:rPr>
                <w:rFonts w:hint="eastAsia" w:eastAsia="宋体"/>
                <w:kern w:val="0"/>
                <w:sz w:val="21"/>
                <w:szCs w:val="21"/>
              </w:rPr>
            </w:pPr>
            <w:r>
              <w:rPr>
                <w:rFonts w:hint="eastAsia" w:eastAsia="宋体"/>
                <w:kern w:val="0"/>
                <w:sz w:val="21"/>
                <w:szCs w:val="21"/>
              </w:rPr>
              <w:t>4</w:t>
            </w:r>
          </w:p>
        </w:tc>
        <w:tc>
          <w:tcPr>
            <w:tcW w:w="2412" w:type="dxa"/>
            <w:shd w:val="clear" w:color="auto" w:fill="auto"/>
            <w:noWrap w:val="0"/>
            <w:vAlign w:val="center"/>
          </w:tcPr>
          <w:p>
            <w:pPr>
              <w:widowControl/>
              <w:spacing w:line="640" w:lineRule="exact"/>
              <w:jc w:val="center"/>
              <w:rPr>
                <w:rFonts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308" w:type="dxa"/>
            <w:vMerge w:val="continue"/>
            <w:shd w:val="clear" w:color="auto" w:fill="auto"/>
            <w:noWrap w:val="0"/>
            <w:vAlign w:val="center"/>
          </w:tcPr>
          <w:p>
            <w:pPr>
              <w:widowControl/>
              <w:snapToGrid w:val="0"/>
              <w:spacing w:line="640" w:lineRule="exact"/>
              <w:jc w:val="left"/>
              <w:rPr>
                <w:rFonts w:eastAsia="宋体"/>
                <w:kern w:val="0"/>
                <w:sz w:val="21"/>
                <w:szCs w:val="21"/>
              </w:rPr>
            </w:pPr>
          </w:p>
        </w:tc>
        <w:tc>
          <w:tcPr>
            <w:tcW w:w="1500" w:type="dxa"/>
            <w:vMerge w:val="continue"/>
            <w:shd w:val="clear" w:color="auto" w:fill="auto"/>
            <w:noWrap w:val="0"/>
            <w:vAlign w:val="center"/>
          </w:tcPr>
          <w:p>
            <w:pPr>
              <w:widowControl/>
              <w:snapToGrid w:val="0"/>
              <w:spacing w:line="640" w:lineRule="exact"/>
              <w:jc w:val="left"/>
              <w:rPr>
                <w:rFonts w:eastAsia="宋体"/>
                <w:b/>
                <w:bCs/>
                <w:kern w:val="0"/>
                <w:sz w:val="21"/>
                <w:szCs w:val="21"/>
              </w:rPr>
            </w:pPr>
          </w:p>
        </w:tc>
        <w:tc>
          <w:tcPr>
            <w:tcW w:w="1776" w:type="dxa"/>
            <w:shd w:val="clear" w:color="auto" w:fill="auto"/>
            <w:noWrap w:val="0"/>
            <w:vAlign w:val="center"/>
          </w:tcPr>
          <w:p>
            <w:pPr>
              <w:widowControl/>
              <w:snapToGrid w:val="0"/>
              <w:spacing w:line="640" w:lineRule="exact"/>
              <w:jc w:val="center"/>
              <w:rPr>
                <w:rFonts w:eastAsia="宋体"/>
                <w:kern w:val="0"/>
                <w:sz w:val="21"/>
                <w:szCs w:val="21"/>
              </w:rPr>
            </w:pPr>
            <w:r>
              <w:rPr>
                <w:rFonts w:hint="eastAsia" w:eastAsia="宋体"/>
                <w:kern w:val="0"/>
                <w:sz w:val="21"/>
                <w:szCs w:val="21"/>
              </w:rPr>
              <w:t>规划合理</w:t>
            </w:r>
          </w:p>
        </w:tc>
        <w:tc>
          <w:tcPr>
            <w:tcW w:w="876" w:type="dxa"/>
            <w:shd w:val="clear" w:color="auto" w:fill="auto"/>
            <w:noWrap w:val="0"/>
            <w:vAlign w:val="center"/>
          </w:tcPr>
          <w:p>
            <w:pPr>
              <w:widowControl/>
              <w:snapToGrid w:val="0"/>
              <w:spacing w:line="640" w:lineRule="exact"/>
              <w:jc w:val="center"/>
              <w:rPr>
                <w:rFonts w:hint="eastAsia" w:eastAsia="宋体"/>
                <w:kern w:val="0"/>
                <w:sz w:val="21"/>
                <w:szCs w:val="21"/>
              </w:rPr>
            </w:pPr>
            <w:r>
              <w:rPr>
                <w:rFonts w:hint="eastAsia" w:eastAsia="宋体"/>
                <w:kern w:val="0"/>
                <w:sz w:val="21"/>
                <w:szCs w:val="21"/>
              </w:rPr>
              <w:t>4</w:t>
            </w:r>
          </w:p>
        </w:tc>
        <w:tc>
          <w:tcPr>
            <w:tcW w:w="840" w:type="dxa"/>
            <w:shd w:val="clear" w:color="auto" w:fill="auto"/>
            <w:noWrap w:val="0"/>
            <w:vAlign w:val="center"/>
          </w:tcPr>
          <w:p>
            <w:pPr>
              <w:widowControl/>
              <w:spacing w:line="640" w:lineRule="exact"/>
              <w:jc w:val="center"/>
              <w:rPr>
                <w:rFonts w:hint="eastAsia" w:eastAsia="宋体"/>
                <w:kern w:val="0"/>
                <w:sz w:val="21"/>
                <w:szCs w:val="21"/>
              </w:rPr>
            </w:pPr>
            <w:r>
              <w:rPr>
                <w:rFonts w:hint="eastAsia" w:eastAsia="宋体"/>
                <w:kern w:val="0"/>
                <w:sz w:val="21"/>
                <w:szCs w:val="21"/>
              </w:rPr>
              <w:t>4</w:t>
            </w:r>
          </w:p>
        </w:tc>
        <w:tc>
          <w:tcPr>
            <w:tcW w:w="2412" w:type="dxa"/>
            <w:shd w:val="clear" w:color="auto" w:fill="auto"/>
            <w:noWrap w:val="0"/>
            <w:vAlign w:val="center"/>
          </w:tcPr>
          <w:p>
            <w:pPr>
              <w:widowControl/>
              <w:spacing w:line="640" w:lineRule="exact"/>
              <w:jc w:val="center"/>
              <w:rPr>
                <w:rFonts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vMerge w:val="continue"/>
            <w:shd w:val="clear" w:color="auto" w:fill="auto"/>
            <w:noWrap w:val="0"/>
            <w:vAlign w:val="top"/>
          </w:tcPr>
          <w:p>
            <w:pPr>
              <w:snapToGrid w:val="0"/>
              <w:spacing w:line="640" w:lineRule="exact"/>
              <w:rPr>
                <w:rFonts w:eastAsia="宋体"/>
                <w:kern w:val="0"/>
                <w:sz w:val="21"/>
                <w:szCs w:val="21"/>
              </w:rPr>
            </w:pPr>
          </w:p>
        </w:tc>
        <w:tc>
          <w:tcPr>
            <w:tcW w:w="1500" w:type="dxa"/>
            <w:vMerge w:val="restart"/>
            <w:shd w:val="clear" w:color="auto" w:fill="auto"/>
            <w:noWrap w:val="0"/>
            <w:vAlign w:val="center"/>
          </w:tcPr>
          <w:p>
            <w:pPr>
              <w:snapToGrid w:val="0"/>
              <w:spacing w:line="640" w:lineRule="exact"/>
              <w:jc w:val="center"/>
              <w:rPr>
                <w:rFonts w:eastAsia="宋体"/>
                <w:kern w:val="0"/>
                <w:sz w:val="21"/>
                <w:szCs w:val="21"/>
              </w:rPr>
            </w:pPr>
            <w:r>
              <w:rPr>
                <w:rFonts w:hint="eastAsia" w:eastAsia="宋体"/>
                <w:kern w:val="0"/>
                <w:sz w:val="21"/>
                <w:szCs w:val="21"/>
              </w:rPr>
              <w:t>项目实施（12/12分）</w:t>
            </w:r>
          </w:p>
        </w:tc>
        <w:tc>
          <w:tcPr>
            <w:tcW w:w="1776" w:type="dxa"/>
            <w:shd w:val="clear" w:color="auto" w:fill="auto"/>
            <w:noWrap w:val="0"/>
            <w:vAlign w:val="center"/>
          </w:tcPr>
          <w:p>
            <w:pPr>
              <w:widowControl/>
              <w:snapToGrid w:val="0"/>
              <w:spacing w:line="640" w:lineRule="exact"/>
              <w:jc w:val="center"/>
              <w:rPr>
                <w:rFonts w:eastAsia="宋体"/>
                <w:kern w:val="0"/>
                <w:sz w:val="21"/>
                <w:szCs w:val="21"/>
              </w:rPr>
            </w:pPr>
            <w:r>
              <w:rPr>
                <w:rFonts w:hint="eastAsia" w:eastAsia="宋体"/>
                <w:kern w:val="0"/>
                <w:sz w:val="21"/>
                <w:szCs w:val="21"/>
              </w:rPr>
              <w:t>分配合理</w:t>
            </w:r>
          </w:p>
        </w:tc>
        <w:tc>
          <w:tcPr>
            <w:tcW w:w="876" w:type="dxa"/>
            <w:shd w:val="clear" w:color="auto" w:fill="auto"/>
            <w:noWrap w:val="0"/>
            <w:vAlign w:val="center"/>
          </w:tcPr>
          <w:p>
            <w:pPr>
              <w:widowControl/>
              <w:snapToGrid w:val="0"/>
              <w:spacing w:line="640" w:lineRule="exact"/>
              <w:jc w:val="center"/>
              <w:rPr>
                <w:rFonts w:hint="eastAsia" w:eastAsia="宋体"/>
                <w:kern w:val="0"/>
                <w:sz w:val="21"/>
                <w:szCs w:val="21"/>
              </w:rPr>
            </w:pPr>
            <w:r>
              <w:rPr>
                <w:rFonts w:hint="eastAsia" w:eastAsia="宋体"/>
                <w:kern w:val="0"/>
                <w:sz w:val="21"/>
                <w:szCs w:val="21"/>
              </w:rPr>
              <w:t>4</w:t>
            </w:r>
          </w:p>
        </w:tc>
        <w:tc>
          <w:tcPr>
            <w:tcW w:w="840" w:type="dxa"/>
            <w:shd w:val="clear" w:color="auto" w:fill="auto"/>
            <w:noWrap w:val="0"/>
            <w:vAlign w:val="center"/>
          </w:tcPr>
          <w:p>
            <w:pPr>
              <w:widowControl/>
              <w:spacing w:line="640" w:lineRule="exact"/>
              <w:jc w:val="center"/>
              <w:rPr>
                <w:rFonts w:hint="eastAsia" w:eastAsia="宋体"/>
                <w:kern w:val="0"/>
                <w:sz w:val="21"/>
                <w:szCs w:val="21"/>
              </w:rPr>
            </w:pPr>
            <w:r>
              <w:rPr>
                <w:rFonts w:hint="eastAsia" w:eastAsia="宋体"/>
                <w:kern w:val="0"/>
                <w:sz w:val="21"/>
                <w:szCs w:val="21"/>
              </w:rPr>
              <w:t>4</w:t>
            </w:r>
          </w:p>
        </w:tc>
        <w:tc>
          <w:tcPr>
            <w:tcW w:w="2412" w:type="dxa"/>
            <w:shd w:val="clear" w:color="auto" w:fill="auto"/>
            <w:noWrap w:val="0"/>
            <w:vAlign w:val="center"/>
          </w:tcPr>
          <w:p>
            <w:pPr>
              <w:widowControl/>
              <w:spacing w:line="640" w:lineRule="exact"/>
              <w:jc w:val="center"/>
              <w:rPr>
                <w:rFonts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vMerge w:val="continue"/>
            <w:shd w:val="clear" w:color="auto" w:fill="auto"/>
            <w:noWrap w:val="0"/>
            <w:vAlign w:val="top"/>
          </w:tcPr>
          <w:p>
            <w:pPr>
              <w:snapToGrid w:val="0"/>
              <w:spacing w:line="640" w:lineRule="exact"/>
              <w:rPr>
                <w:rFonts w:eastAsia="宋体"/>
                <w:kern w:val="0"/>
                <w:sz w:val="21"/>
                <w:szCs w:val="21"/>
              </w:rPr>
            </w:pPr>
          </w:p>
        </w:tc>
        <w:tc>
          <w:tcPr>
            <w:tcW w:w="1500" w:type="dxa"/>
            <w:vMerge w:val="continue"/>
            <w:shd w:val="clear" w:color="auto" w:fill="auto"/>
            <w:noWrap w:val="0"/>
            <w:vAlign w:val="top"/>
          </w:tcPr>
          <w:p>
            <w:pPr>
              <w:snapToGrid w:val="0"/>
              <w:spacing w:line="640" w:lineRule="exact"/>
              <w:rPr>
                <w:rFonts w:eastAsia="宋体"/>
                <w:kern w:val="0"/>
                <w:sz w:val="21"/>
                <w:szCs w:val="21"/>
              </w:rPr>
            </w:pPr>
          </w:p>
        </w:tc>
        <w:tc>
          <w:tcPr>
            <w:tcW w:w="1776" w:type="dxa"/>
            <w:shd w:val="clear" w:color="auto" w:fill="auto"/>
            <w:noWrap w:val="0"/>
            <w:vAlign w:val="center"/>
          </w:tcPr>
          <w:p>
            <w:pPr>
              <w:widowControl/>
              <w:snapToGrid w:val="0"/>
              <w:spacing w:line="640" w:lineRule="exact"/>
              <w:jc w:val="center"/>
              <w:rPr>
                <w:rFonts w:eastAsia="宋体"/>
                <w:kern w:val="0"/>
                <w:sz w:val="21"/>
                <w:szCs w:val="21"/>
              </w:rPr>
            </w:pPr>
            <w:r>
              <w:rPr>
                <w:rFonts w:hint="eastAsia" w:eastAsia="宋体"/>
                <w:kern w:val="0"/>
                <w:sz w:val="21"/>
                <w:szCs w:val="21"/>
              </w:rPr>
              <w:t>使用合规</w:t>
            </w:r>
          </w:p>
        </w:tc>
        <w:tc>
          <w:tcPr>
            <w:tcW w:w="876" w:type="dxa"/>
            <w:shd w:val="clear" w:color="auto" w:fill="auto"/>
            <w:noWrap w:val="0"/>
            <w:vAlign w:val="center"/>
          </w:tcPr>
          <w:p>
            <w:pPr>
              <w:widowControl/>
              <w:snapToGrid w:val="0"/>
              <w:spacing w:line="640" w:lineRule="exact"/>
              <w:jc w:val="center"/>
              <w:rPr>
                <w:rFonts w:hint="eastAsia" w:eastAsia="宋体"/>
                <w:kern w:val="0"/>
                <w:sz w:val="21"/>
                <w:szCs w:val="21"/>
              </w:rPr>
            </w:pPr>
            <w:r>
              <w:rPr>
                <w:rFonts w:hint="eastAsia" w:eastAsia="宋体"/>
                <w:kern w:val="0"/>
                <w:sz w:val="21"/>
                <w:szCs w:val="21"/>
              </w:rPr>
              <w:t>4</w:t>
            </w:r>
          </w:p>
        </w:tc>
        <w:tc>
          <w:tcPr>
            <w:tcW w:w="840" w:type="dxa"/>
            <w:shd w:val="clear" w:color="auto" w:fill="auto"/>
            <w:noWrap w:val="0"/>
            <w:vAlign w:val="center"/>
          </w:tcPr>
          <w:p>
            <w:pPr>
              <w:widowControl/>
              <w:spacing w:line="640" w:lineRule="exact"/>
              <w:jc w:val="center"/>
              <w:rPr>
                <w:rFonts w:hint="eastAsia" w:eastAsia="宋体"/>
                <w:kern w:val="0"/>
                <w:sz w:val="21"/>
                <w:szCs w:val="21"/>
              </w:rPr>
            </w:pPr>
            <w:r>
              <w:rPr>
                <w:rFonts w:hint="eastAsia" w:eastAsia="宋体"/>
                <w:kern w:val="0"/>
                <w:sz w:val="21"/>
                <w:szCs w:val="21"/>
              </w:rPr>
              <w:t>4</w:t>
            </w:r>
          </w:p>
        </w:tc>
        <w:tc>
          <w:tcPr>
            <w:tcW w:w="2412" w:type="dxa"/>
            <w:shd w:val="clear" w:color="auto" w:fill="auto"/>
            <w:noWrap w:val="0"/>
            <w:vAlign w:val="center"/>
          </w:tcPr>
          <w:p>
            <w:pPr>
              <w:widowControl/>
              <w:spacing w:line="640" w:lineRule="exact"/>
              <w:jc w:val="center"/>
              <w:rPr>
                <w:rFonts w:hint="eastAsia"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308" w:type="dxa"/>
            <w:vMerge w:val="continue"/>
            <w:shd w:val="clear" w:color="auto" w:fill="auto"/>
            <w:noWrap w:val="0"/>
            <w:vAlign w:val="top"/>
          </w:tcPr>
          <w:p>
            <w:pPr>
              <w:snapToGrid w:val="0"/>
              <w:spacing w:line="640" w:lineRule="exact"/>
              <w:rPr>
                <w:rFonts w:eastAsia="宋体"/>
                <w:kern w:val="0"/>
                <w:sz w:val="21"/>
                <w:szCs w:val="21"/>
              </w:rPr>
            </w:pPr>
          </w:p>
        </w:tc>
        <w:tc>
          <w:tcPr>
            <w:tcW w:w="1500" w:type="dxa"/>
            <w:vMerge w:val="continue"/>
            <w:shd w:val="clear" w:color="auto" w:fill="auto"/>
            <w:noWrap w:val="0"/>
            <w:vAlign w:val="top"/>
          </w:tcPr>
          <w:p>
            <w:pPr>
              <w:snapToGrid w:val="0"/>
              <w:spacing w:line="640" w:lineRule="exact"/>
              <w:rPr>
                <w:rFonts w:eastAsia="宋体"/>
                <w:kern w:val="0"/>
                <w:sz w:val="21"/>
                <w:szCs w:val="21"/>
              </w:rPr>
            </w:pPr>
          </w:p>
        </w:tc>
        <w:tc>
          <w:tcPr>
            <w:tcW w:w="1776" w:type="dxa"/>
            <w:shd w:val="clear" w:color="auto" w:fill="auto"/>
            <w:noWrap w:val="0"/>
            <w:vAlign w:val="center"/>
          </w:tcPr>
          <w:p>
            <w:pPr>
              <w:widowControl/>
              <w:snapToGrid w:val="0"/>
              <w:spacing w:line="640" w:lineRule="exact"/>
              <w:jc w:val="center"/>
              <w:rPr>
                <w:rFonts w:eastAsia="宋体"/>
                <w:kern w:val="0"/>
                <w:sz w:val="21"/>
                <w:szCs w:val="21"/>
              </w:rPr>
            </w:pPr>
            <w:r>
              <w:rPr>
                <w:rFonts w:hint="eastAsia" w:eastAsia="宋体"/>
                <w:kern w:val="0"/>
                <w:sz w:val="21"/>
                <w:szCs w:val="21"/>
              </w:rPr>
              <w:t>执行有效</w:t>
            </w:r>
          </w:p>
        </w:tc>
        <w:tc>
          <w:tcPr>
            <w:tcW w:w="876" w:type="dxa"/>
            <w:shd w:val="clear" w:color="auto" w:fill="auto"/>
            <w:noWrap w:val="0"/>
            <w:vAlign w:val="center"/>
          </w:tcPr>
          <w:p>
            <w:pPr>
              <w:widowControl/>
              <w:snapToGrid w:val="0"/>
              <w:spacing w:line="640" w:lineRule="exact"/>
              <w:jc w:val="center"/>
              <w:rPr>
                <w:rFonts w:hint="eastAsia" w:eastAsia="宋体"/>
                <w:kern w:val="0"/>
                <w:sz w:val="21"/>
                <w:szCs w:val="21"/>
              </w:rPr>
            </w:pPr>
            <w:r>
              <w:rPr>
                <w:rFonts w:hint="eastAsia" w:eastAsia="宋体"/>
                <w:kern w:val="0"/>
                <w:sz w:val="21"/>
                <w:szCs w:val="21"/>
              </w:rPr>
              <w:t>4</w:t>
            </w:r>
          </w:p>
        </w:tc>
        <w:tc>
          <w:tcPr>
            <w:tcW w:w="840" w:type="dxa"/>
            <w:shd w:val="clear" w:color="auto" w:fill="auto"/>
            <w:noWrap w:val="0"/>
            <w:vAlign w:val="center"/>
          </w:tcPr>
          <w:p>
            <w:pPr>
              <w:widowControl/>
              <w:spacing w:line="640" w:lineRule="exact"/>
              <w:jc w:val="center"/>
              <w:rPr>
                <w:rFonts w:hint="eastAsia" w:eastAsia="宋体"/>
                <w:kern w:val="0"/>
                <w:sz w:val="21"/>
                <w:szCs w:val="21"/>
              </w:rPr>
            </w:pPr>
            <w:r>
              <w:rPr>
                <w:rFonts w:hint="eastAsia" w:eastAsia="宋体"/>
                <w:kern w:val="0"/>
                <w:sz w:val="21"/>
                <w:szCs w:val="21"/>
              </w:rPr>
              <w:t>4</w:t>
            </w:r>
          </w:p>
        </w:tc>
        <w:tc>
          <w:tcPr>
            <w:tcW w:w="2412" w:type="dxa"/>
            <w:shd w:val="clear" w:color="auto" w:fill="auto"/>
            <w:noWrap w:val="0"/>
            <w:vAlign w:val="center"/>
          </w:tcPr>
          <w:p>
            <w:pPr>
              <w:widowControl/>
              <w:spacing w:line="640" w:lineRule="exact"/>
              <w:jc w:val="center"/>
              <w:rPr>
                <w:rFonts w:hint="eastAsia"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vMerge w:val="continue"/>
            <w:shd w:val="clear" w:color="auto" w:fill="auto"/>
            <w:noWrap w:val="0"/>
            <w:vAlign w:val="top"/>
          </w:tcPr>
          <w:p>
            <w:pPr>
              <w:snapToGrid w:val="0"/>
              <w:spacing w:line="640" w:lineRule="exact"/>
              <w:rPr>
                <w:rFonts w:eastAsia="宋体"/>
                <w:kern w:val="0"/>
                <w:sz w:val="21"/>
                <w:szCs w:val="21"/>
              </w:rPr>
            </w:pPr>
          </w:p>
        </w:tc>
        <w:tc>
          <w:tcPr>
            <w:tcW w:w="1500" w:type="dxa"/>
            <w:vMerge w:val="restart"/>
            <w:shd w:val="clear" w:color="auto" w:fill="auto"/>
            <w:noWrap w:val="0"/>
            <w:vAlign w:val="center"/>
          </w:tcPr>
          <w:p>
            <w:pPr>
              <w:snapToGrid w:val="0"/>
              <w:spacing w:line="640" w:lineRule="exact"/>
              <w:jc w:val="center"/>
              <w:rPr>
                <w:rFonts w:eastAsia="宋体"/>
                <w:kern w:val="0"/>
                <w:sz w:val="21"/>
                <w:szCs w:val="21"/>
              </w:rPr>
            </w:pPr>
            <w:r>
              <w:rPr>
                <w:rFonts w:hint="eastAsia" w:eastAsia="宋体"/>
                <w:kern w:val="0"/>
                <w:sz w:val="21"/>
                <w:szCs w:val="21"/>
              </w:rPr>
              <w:t>完成结果（10/10分）</w:t>
            </w:r>
          </w:p>
        </w:tc>
        <w:tc>
          <w:tcPr>
            <w:tcW w:w="1776" w:type="dxa"/>
            <w:shd w:val="clear" w:color="auto" w:fill="auto"/>
            <w:noWrap w:val="0"/>
            <w:vAlign w:val="center"/>
          </w:tcPr>
          <w:p>
            <w:pPr>
              <w:widowControl/>
              <w:snapToGrid w:val="0"/>
              <w:spacing w:line="640" w:lineRule="exact"/>
              <w:jc w:val="center"/>
              <w:rPr>
                <w:rFonts w:eastAsia="宋体"/>
                <w:kern w:val="0"/>
                <w:sz w:val="21"/>
                <w:szCs w:val="21"/>
              </w:rPr>
            </w:pPr>
            <w:r>
              <w:rPr>
                <w:rFonts w:hint="eastAsia" w:eastAsia="宋体"/>
                <w:kern w:val="0"/>
                <w:sz w:val="21"/>
                <w:szCs w:val="21"/>
              </w:rPr>
              <w:t>预算完成</w:t>
            </w:r>
          </w:p>
        </w:tc>
        <w:tc>
          <w:tcPr>
            <w:tcW w:w="876" w:type="dxa"/>
            <w:shd w:val="clear" w:color="auto" w:fill="auto"/>
            <w:noWrap w:val="0"/>
            <w:vAlign w:val="center"/>
          </w:tcPr>
          <w:p>
            <w:pPr>
              <w:widowControl/>
              <w:snapToGrid w:val="0"/>
              <w:spacing w:line="640" w:lineRule="exact"/>
              <w:jc w:val="center"/>
              <w:rPr>
                <w:rFonts w:hint="eastAsia" w:eastAsia="宋体"/>
                <w:kern w:val="0"/>
                <w:sz w:val="21"/>
                <w:szCs w:val="21"/>
              </w:rPr>
            </w:pPr>
            <w:r>
              <w:rPr>
                <w:rFonts w:hint="eastAsia" w:eastAsia="宋体"/>
                <w:kern w:val="0"/>
                <w:sz w:val="21"/>
                <w:szCs w:val="21"/>
              </w:rPr>
              <w:t>4</w:t>
            </w:r>
          </w:p>
        </w:tc>
        <w:tc>
          <w:tcPr>
            <w:tcW w:w="840" w:type="dxa"/>
            <w:shd w:val="clear" w:color="auto" w:fill="auto"/>
            <w:noWrap w:val="0"/>
            <w:vAlign w:val="center"/>
          </w:tcPr>
          <w:p>
            <w:pPr>
              <w:widowControl/>
              <w:spacing w:line="640" w:lineRule="exact"/>
              <w:jc w:val="center"/>
              <w:rPr>
                <w:rFonts w:hint="eastAsia" w:eastAsia="宋体"/>
                <w:kern w:val="0"/>
                <w:sz w:val="21"/>
                <w:szCs w:val="21"/>
              </w:rPr>
            </w:pPr>
            <w:r>
              <w:rPr>
                <w:rFonts w:hint="eastAsia" w:eastAsia="宋体"/>
                <w:kern w:val="0"/>
                <w:sz w:val="21"/>
                <w:szCs w:val="21"/>
              </w:rPr>
              <w:t>4</w:t>
            </w:r>
          </w:p>
        </w:tc>
        <w:tc>
          <w:tcPr>
            <w:tcW w:w="2412" w:type="dxa"/>
            <w:shd w:val="clear" w:color="auto" w:fill="auto"/>
            <w:noWrap w:val="0"/>
            <w:vAlign w:val="center"/>
          </w:tcPr>
          <w:p>
            <w:pPr>
              <w:widowControl/>
              <w:spacing w:line="640" w:lineRule="exact"/>
              <w:jc w:val="center"/>
              <w:rPr>
                <w:rFonts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vMerge w:val="continue"/>
            <w:shd w:val="clear" w:color="auto" w:fill="auto"/>
            <w:noWrap w:val="0"/>
            <w:vAlign w:val="top"/>
          </w:tcPr>
          <w:p>
            <w:pPr>
              <w:snapToGrid w:val="0"/>
              <w:spacing w:line="640" w:lineRule="exact"/>
              <w:rPr>
                <w:rFonts w:eastAsia="宋体"/>
                <w:kern w:val="0"/>
                <w:sz w:val="21"/>
                <w:szCs w:val="21"/>
              </w:rPr>
            </w:pPr>
          </w:p>
        </w:tc>
        <w:tc>
          <w:tcPr>
            <w:tcW w:w="1500" w:type="dxa"/>
            <w:vMerge w:val="continue"/>
            <w:shd w:val="clear" w:color="auto" w:fill="auto"/>
            <w:noWrap w:val="0"/>
            <w:vAlign w:val="center"/>
          </w:tcPr>
          <w:p>
            <w:pPr>
              <w:snapToGrid w:val="0"/>
              <w:spacing w:line="640" w:lineRule="exact"/>
              <w:rPr>
                <w:rFonts w:eastAsia="宋体"/>
                <w:kern w:val="0"/>
                <w:sz w:val="21"/>
                <w:szCs w:val="21"/>
              </w:rPr>
            </w:pPr>
          </w:p>
        </w:tc>
        <w:tc>
          <w:tcPr>
            <w:tcW w:w="1776" w:type="dxa"/>
            <w:shd w:val="clear" w:color="auto" w:fill="auto"/>
            <w:noWrap w:val="0"/>
            <w:vAlign w:val="center"/>
          </w:tcPr>
          <w:p>
            <w:pPr>
              <w:widowControl/>
              <w:snapToGrid w:val="0"/>
              <w:spacing w:line="640" w:lineRule="exact"/>
              <w:jc w:val="center"/>
              <w:rPr>
                <w:rFonts w:eastAsia="宋体"/>
                <w:kern w:val="0"/>
                <w:sz w:val="21"/>
                <w:szCs w:val="21"/>
              </w:rPr>
            </w:pPr>
            <w:r>
              <w:rPr>
                <w:rFonts w:hint="eastAsia" w:eastAsia="宋体"/>
                <w:kern w:val="0"/>
                <w:sz w:val="21"/>
                <w:szCs w:val="21"/>
              </w:rPr>
              <w:t>目标完成</w:t>
            </w:r>
          </w:p>
        </w:tc>
        <w:tc>
          <w:tcPr>
            <w:tcW w:w="876" w:type="dxa"/>
            <w:shd w:val="clear" w:color="auto" w:fill="auto"/>
            <w:noWrap w:val="0"/>
            <w:vAlign w:val="center"/>
          </w:tcPr>
          <w:p>
            <w:pPr>
              <w:widowControl/>
              <w:snapToGrid w:val="0"/>
              <w:spacing w:line="640" w:lineRule="exact"/>
              <w:jc w:val="center"/>
              <w:rPr>
                <w:rFonts w:hint="eastAsia" w:eastAsia="宋体"/>
                <w:kern w:val="0"/>
                <w:sz w:val="21"/>
                <w:szCs w:val="21"/>
              </w:rPr>
            </w:pPr>
            <w:r>
              <w:rPr>
                <w:rFonts w:hint="eastAsia" w:eastAsia="宋体"/>
                <w:kern w:val="0"/>
                <w:sz w:val="21"/>
                <w:szCs w:val="21"/>
              </w:rPr>
              <w:t>4</w:t>
            </w:r>
          </w:p>
        </w:tc>
        <w:tc>
          <w:tcPr>
            <w:tcW w:w="840" w:type="dxa"/>
            <w:shd w:val="clear" w:color="auto" w:fill="auto"/>
            <w:noWrap w:val="0"/>
            <w:vAlign w:val="center"/>
          </w:tcPr>
          <w:p>
            <w:pPr>
              <w:widowControl/>
              <w:spacing w:line="640" w:lineRule="exact"/>
              <w:jc w:val="center"/>
              <w:rPr>
                <w:rFonts w:hint="eastAsia" w:eastAsia="宋体"/>
                <w:kern w:val="0"/>
                <w:sz w:val="21"/>
                <w:szCs w:val="21"/>
              </w:rPr>
            </w:pPr>
            <w:r>
              <w:rPr>
                <w:rFonts w:hint="eastAsia" w:eastAsia="宋体"/>
                <w:kern w:val="0"/>
                <w:sz w:val="21"/>
                <w:szCs w:val="21"/>
              </w:rPr>
              <w:t>4</w:t>
            </w:r>
          </w:p>
        </w:tc>
        <w:tc>
          <w:tcPr>
            <w:tcW w:w="2412" w:type="dxa"/>
            <w:shd w:val="clear" w:color="auto" w:fill="auto"/>
            <w:noWrap w:val="0"/>
            <w:vAlign w:val="center"/>
          </w:tcPr>
          <w:p>
            <w:pPr>
              <w:widowControl/>
              <w:spacing w:line="640" w:lineRule="exact"/>
              <w:jc w:val="center"/>
              <w:rPr>
                <w:rFonts w:hint="eastAsia"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vMerge w:val="continue"/>
            <w:shd w:val="clear" w:color="auto" w:fill="auto"/>
            <w:noWrap w:val="0"/>
            <w:vAlign w:val="top"/>
          </w:tcPr>
          <w:p>
            <w:pPr>
              <w:snapToGrid w:val="0"/>
              <w:spacing w:line="640" w:lineRule="exact"/>
              <w:rPr>
                <w:rFonts w:eastAsia="宋体"/>
                <w:kern w:val="0"/>
                <w:sz w:val="21"/>
                <w:szCs w:val="21"/>
              </w:rPr>
            </w:pPr>
          </w:p>
        </w:tc>
        <w:tc>
          <w:tcPr>
            <w:tcW w:w="1500" w:type="dxa"/>
            <w:vMerge w:val="continue"/>
            <w:shd w:val="clear" w:color="auto" w:fill="auto"/>
            <w:noWrap w:val="0"/>
            <w:vAlign w:val="center"/>
          </w:tcPr>
          <w:p>
            <w:pPr>
              <w:snapToGrid w:val="0"/>
              <w:spacing w:line="640" w:lineRule="exact"/>
              <w:rPr>
                <w:rFonts w:eastAsia="宋体"/>
                <w:kern w:val="0"/>
                <w:sz w:val="21"/>
                <w:szCs w:val="21"/>
              </w:rPr>
            </w:pPr>
          </w:p>
        </w:tc>
        <w:tc>
          <w:tcPr>
            <w:tcW w:w="1776" w:type="dxa"/>
            <w:shd w:val="clear" w:color="auto" w:fill="auto"/>
            <w:noWrap w:val="0"/>
            <w:vAlign w:val="center"/>
          </w:tcPr>
          <w:p>
            <w:pPr>
              <w:widowControl/>
              <w:snapToGrid w:val="0"/>
              <w:spacing w:line="640" w:lineRule="exact"/>
              <w:jc w:val="center"/>
              <w:rPr>
                <w:rFonts w:eastAsia="宋体"/>
                <w:kern w:val="0"/>
                <w:sz w:val="21"/>
                <w:szCs w:val="21"/>
              </w:rPr>
            </w:pPr>
            <w:r>
              <w:rPr>
                <w:rFonts w:hint="eastAsia" w:eastAsia="宋体"/>
                <w:kern w:val="0"/>
                <w:sz w:val="21"/>
                <w:szCs w:val="21"/>
              </w:rPr>
              <w:t>违规记录</w:t>
            </w:r>
          </w:p>
        </w:tc>
        <w:tc>
          <w:tcPr>
            <w:tcW w:w="876" w:type="dxa"/>
            <w:shd w:val="clear" w:color="auto" w:fill="auto"/>
            <w:noWrap w:val="0"/>
            <w:vAlign w:val="center"/>
          </w:tcPr>
          <w:p>
            <w:pPr>
              <w:widowControl/>
              <w:snapToGrid w:val="0"/>
              <w:spacing w:line="640" w:lineRule="exact"/>
              <w:jc w:val="center"/>
              <w:rPr>
                <w:rFonts w:hint="eastAsia" w:eastAsia="宋体"/>
                <w:kern w:val="0"/>
                <w:sz w:val="21"/>
                <w:szCs w:val="21"/>
              </w:rPr>
            </w:pPr>
            <w:r>
              <w:rPr>
                <w:rFonts w:hint="eastAsia" w:eastAsia="宋体"/>
                <w:kern w:val="0"/>
                <w:sz w:val="21"/>
                <w:szCs w:val="21"/>
              </w:rPr>
              <w:t>2</w:t>
            </w:r>
          </w:p>
        </w:tc>
        <w:tc>
          <w:tcPr>
            <w:tcW w:w="840" w:type="dxa"/>
            <w:shd w:val="clear" w:color="auto" w:fill="auto"/>
            <w:noWrap w:val="0"/>
            <w:vAlign w:val="center"/>
          </w:tcPr>
          <w:p>
            <w:pPr>
              <w:widowControl/>
              <w:spacing w:line="640" w:lineRule="exact"/>
              <w:jc w:val="center"/>
              <w:rPr>
                <w:rFonts w:eastAsia="宋体"/>
                <w:kern w:val="0"/>
                <w:sz w:val="21"/>
                <w:szCs w:val="21"/>
              </w:rPr>
            </w:pPr>
            <w:r>
              <w:rPr>
                <w:rFonts w:eastAsia="宋体"/>
                <w:kern w:val="0"/>
                <w:sz w:val="21"/>
                <w:szCs w:val="21"/>
              </w:rPr>
              <w:t>2</w:t>
            </w:r>
          </w:p>
        </w:tc>
        <w:tc>
          <w:tcPr>
            <w:tcW w:w="2412" w:type="dxa"/>
            <w:shd w:val="clear" w:color="auto" w:fill="auto"/>
            <w:noWrap w:val="0"/>
            <w:vAlign w:val="center"/>
          </w:tcPr>
          <w:p>
            <w:pPr>
              <w:widowControl/>
              <w:spacing w:line="640" w:lineRule="exact"/>
              <w:jc w:val="center"/>
              <w:rPr>
                <w:rFonts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vMerge w:val="restart"/>
            <w:shd w:val="clear" w:color="auto" w:fill="auto"/>
            <w:noWrap w:val="0"/>
            <w:vAlign w:val="center"/>
          </w:tcPr>
          <w:p>
            <w:pPr>
              <w:snapToGrid w:val="0"/>
              <w:spacing w:line="640" w:lineRule="exact"/>
              <w:jc w:val="center"/>
              <w:rPr>
                <w:rFonts w:eastAsia="宋体"/>
                <w:kern w:val="0"/>
                <w:sz w:val="21"/>
                <w:szCs w:val="21"/>
              </w:rPr>
            </w:pPr>
            <w:r>
              <w:rPr>
                <w:rFonts w:hint="eastAsia" w:eastAsia="宋体"/>
                <w:kern w:val="0"/>
                <w:sz w:val="21"/>
                <w:szCs w:val="21"/>
              </w:rPr>
              <w:t>共性指标（20/20分）</w:t>
            </w:r>
          </w:p>
        </w:tc>
        <w:tc>
          <w:tcPr>
            <w:tcW w:w="1500" w:type="dxa"/>
            <w:vMerge w:val="restart"/>
            <w:shd w:val="clear" w:color="auto" w:fill="auto"/>
            <w:noWrap w:val="0"/>
            <w:vAlign w:val="center"/>
          </w:tcPr>
          <w:p>
            <w:pPr>
              <w:snapToGrid w:val="0"/>
              <w:spacing w:line="640" w:lineRule="exact"/>
              <w:jc w:val="center"/>
              <w:rPr>
                <w:rFonts w:eastAsia="宋体"/>
                <w:kern w:val="0"/>
                <w:sz w:val="21"/>
                <w:szCs w:val="21"/>
              </w:rPr>
            </w:pPr>
            <w:r>
              <w:rPr>
                <w:rFonts w:hint="eastAsia" w:eastAsia="宋体"/>
                <w:kern w:val="0"/>
                <w:sz w:val="21"/>
                <w:szCs w:val="21"/>
              </w:rPr>
              <w:t>项目效果</w:t>
            </w:r>
          </w:p>
        </w:tc>
        <w:tc>
          <w:tcPr>
            <w:tcW w:w="1776" w:type="dxa"/>
            <w:shd w:val="clear" w:color="auto" w:fill="auto"/>
            <w:noWrap w:val="0"/>
            <w:vAlign w:val="center"/>
          </w:tcPr>
          <w:p>
            <w:pPr>
              <w:widowControl/>
              <w:snapToGrid w:val="0"/>
              <w:spacing w:line="640" w:lineRule="exact"/>
              <w:jc w:val="center"/>
              <w:rPr>
                <w:rFonts w:eastAsia="宋体"/>
                <w:kern w:val="0"/>
                <w:sz w:val="21"/>
                <w:szCs w:val="21"/>
              </w:rPr>
            </w:pPr>
            <w:r>
              <w:rPr>
                <w:rFonts w:hint="eastAsia" w:eastAsia="宋体"/>
                <w:kern w:val="0"/>
                <w:sz w:val="21"/>
                <w:szCs w:val="21"/>
              </w:rPr>
              <w:t>符合性</w:t>
            </w:r>
          </w:p>
        </w:tc>
        <w:tc>
          <w:tcPr>
            <w:tcW w:w="876" w:type="dxa"/>
            <w:shd w:val="clear" w:color="auto" w:fill="auto"/>
            <w:noWrap w:val="0"/>
            <w:vAlign w:val="center"/>
          </w:tcPr>
          <w:p>
            <w:pPr>
              <w:widowControl/>
              <w:snapToGrid w:val="0"/>
              <w:spacing w:line="640" w:lineRule="exact"/>
              <w:jc w:val="center"/>
              <w:rPr>
                <w:rFonts w:hint="eastAsia" w:eastAsia="宋体"/>
                <w:kern w:val="0"/>
                <w:sz w:val="21"/>
                <w:szCs w:val="21"/>
              </w:rPr>
            </w:pPr>
            <w:r>
              <w:rPr>
                <w:rFonts w:eastAsia="宋体"/>
                <w:kern w:val="0"/>
                <w:sz w:val="21"/>
                <w:szCs w:val="21"/>
              </w:rPr>
              <w:t>1</w:t>
            </w:r>
            <w:r>
              <w:rPr>
                <w:rFonts w:hint="eastAsia" w:eastAsia="宋体"/>
                <w:kern w:val="0"/>
                <w:sz w:val="21"/>
                <w:szCs w:val="21"/>
              </w:rPr>
              <w:t>0</w:t>
            </w:r>
          </w:p>
        </w:tc>
        <w:tc>
          <w:tcPr>
            <w:tcW w:w="840" w:type="dxa"/>
            <w:shd w:val="clear" w:color="auto" w:fill="auto"/>
            <w:noWrap w:val="0"/>
            <w:vAlign w:val="center"/>
          </w:tcPr>
          <w:p>
            <w:pPr>
              <w:widowControl/>
              <w:spacing w:line="640" w:lineRule="exact"/>
              <w:jc w:val="center"/>
              <w:rPr>
                <w:rFonts w:hint="eastAsia" w:eastAsia="宋体"/>
                <w:kern w:val="0"/>
                <w:sz w:val="21"/>
                <w:szCs w:val="21"/>
              </w:rPr>
            </w:pPr>
            <w:r>
              <w:rPr>
                <w:rFonts w:eastAsia="宋体"/>
                <w:kern w:val="0"/>
                <w:sz w:val="21"/>
                <w:szCs w:val="21"/>
              </w:rPr>
              <w:t>1</w:t>
            </w:r>
            <w:r>
              <w:rPr>
                <w:rFonts w:hint="eastAsia" w:eastAsia="宋体"/>
                <w:kern w:val="0"/>
                <w:sz w:val="21"/>
                <w:szCs w:val="21"/>
              </w:rPr>
              <w:t>0</w:t>
            </w:r>
          </w:p>
        </w:tc>
        <w:tc>
          <w:tcPr>
            <w:tcW w:w="2412" w:type="dxa"/>
            <w:shd w:val="clear" w:color="auto" w:fill="auto"/>
            <w:noWrap w:val="0"/>
            <w:vAlign w:val="center"/>
          </w:tcPr>
          <w:p>
            <w:pPr>
              <w:widowControl/>
              <w:spacing w:line="640" w:lineRule="exact"/>
              <w:jc w:val="center"/>
              <w:rPr>
                <w:rFonts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vMerge w:val="continue"/>
            <w:shd w:val="clear" w:color="auto" w:fill="auto"/>
            <w:noWrap w:val="0"/>
            <w:vAlign w:val="top"/>
          </w:tcPr>
          <w:p>
            <w:pPr>
              <w:snapToGrid w:val="0"/>
              <w:spacing w:line="640" w:lineRule="exact"/>
              <w:rPr>
                <w:rFonts w:eastAsia="宋体"/>
                <w:kern w:val="0"/>
                <w:sz w:val="21"/>
                <w:szCs w:val="21"/>
              </w:rPr>
            </w:pPr>
          </w:p>
        </w:tc>
        <w:tc>
          <w:tcPr>
            <w:tcW w:w="1500" w:type="dxa"/>
            <w:vMerge w:val="continue"/>
            <w:shd w:val="clear" w:color="auto" w:fill="auto"/>
            <w:noWrap w:val="0"/>
            <w:vAlign w:val="top"/>
          </w:tcPr>
          <w:p>
            <w:pPr>
              <w:snapToGrid w:val="0"/>
              <w:spacing w:line="640" w:lineRule="exact"/>
              <w:rPr>
                <w:rFonts w:eastAsia="宋体"/>
                <w:kern w:val="0"/>
                <w:sz w:val="21"/>
                <w:szCs w:val="21"/>
              </w:rPr>
            </w:pPr>
          </w:p>
        </w:tc>
        <w:tc>
          <w:tcPr>
            <w:tcW w:w="1776" w:type="dxa"/>
            <w:shd w:val="clear" w:color="auto" w:fill="auto"/>
            <w:noWrap w:val="0"/>
            <w:vAlign w:val="center"/>
          </w:tcPr>
          <w:p>
            <w:pPr>
              <w:widowControl/>
              <w:snapToGrid w:val="0"/>
              <w:spacing w:line="640" w:lineRule="exact"/>
              <w:jc w:val="center"/>
              <w:rPr>
                <w:rFonts w:eastAsia="宋体"/>
                <w:kern w:val="0"/>
                <w:sz w:val="21"/>
                <w:szCs w:val="21"/>
              </w:rPr>
            </w:pPr>
            <w:r>
              <w:rPr>
                <w:rFonts w:hint="eastAsia" w:eastAsia="宋体"/>
                <w:kern w:val="0"/>
                <w:sz w:val="21"/>
                <w:szCs w:val="21"/>
              </w:rPr>
              <w:t>成长性</w:t>
            </w:r>
          </w:p>
        </w:tc>
        <w:tc>
          <w:tcPr>
            <w:tcW w:w="876" w:type="dxa"/>
            <w:shd w:val="clear" w:color="auto" w:fill="auto"/>
            <w:noWrap w:val="0"/>
            <w:vAlign w:val="center"/>
          </w:tcPr>
          <w:p>
            <w:pPr>
              <w:widowControl/>
              <w:snapToGrid w:val="0"/>
              <w:spacing w:line="640" w:lineRule="exact"/>
              <w:jc w:val="center"/>
              <w:rPr>
                <w:rFonts w:eastAsia="宋体"/>
                <w:kern w:val="0"/>
                <w:sz w:val="21"/>
                <w:szCs w:val="21"/>
              </w:rPr>
            </w:pPr>
            <w:r>
              <w:rPr>
                <w:rFonts w:hint="eastAsia" w:eastAsia="宋体"/>
                <w:kern w:val="0"/>
                <w:sz w:val="21"/>
                <w:szCs w:val="21"/>
              </w:rPr>
              <w:t>10</w:t>
            </w:r>
          </w:p>
        </w:tc>
        <w:tc>
          <w:tcPr>
            <w:tcW w:w="840" w:type="dxa"/>
            <w:shd w:val="clear" w:color="auto" w:fill="auto"/>
            <w:noWrap w:val="0"/>
            <w:vAlign w:val="center"/>
          </w:tcPr>
          <w:p>
            <w:pPr>
              <w:widowControl/>
              <w:spacing w:line="640" w:lineRule="exact"/>
              <w:jc w:val="center"/>
              <w:rPr>
                <w:rFonts w:eastAsia="宋体"/>
                <w:kern w:val="0"/>
                <w:sz w:val="21"/>
                <w:szCs w:val="21"/>
              </w:rPr>
            </w:pPr>
            <w:r>
              <w:rPr>
                <w:rFonts w:hint="eastAsia" w:eastAsia="宋体"/>
                <w:kern w:val="0"/>
                <w:sz w:val="21"/>
                <w:szCs w:val="21"/>
              </w:rPr>
              <w:t>10</w:t>
            </w:r>
          </w:p>
        </w:tc>
        <w:tc>
          <w:tcPr>
            <w:tcW w:w="2412" w:type="dxa"/>
            <w:shd w:val="clear" w:color="auto" w:fill="auto"/>
            <w:noWrap w:val="0"/>
            <w:vAlign w:val="center"/>
          </w:tcPr>
          <w:p>
            <w:pPr>
              <w:widowControl/>
              <w:spacing w:line="640" w:lineRule="exact"/>
              <w:jc w:val="center"/>
              <w:rPr>
                <w:rFonts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vMerge w:val="restart"/>
            <w:shd w:val="clear" w:color="auto" w:fill="auto"/>
            <w:noWrap w:val="0"/>
            <w:vAlign w:val="center"/>
          </w:tcPr>
          <w:p>
            <w:pPr>
              <w:snapToGrid w:val="0"/>
              <w:spacing w:line="640" w:lineRule="exact"/>
              <w:jc w:val="center"/>
              <w:rPr>
                <w:rFonts w:eastAsia="宋体"/>
                <w:kern w:val="0"/>
                <w:sz w:val="21"/>
                <w:szCs w:val="21"/>
              </w:rPr>
            </w:pPr>
            <w:r>
              <w:rPr>
                <w:rFonts w:hint="eastAsia" w:eastAsia="宋体"/>
                <w:kern w:val="0"/>
                <w:sz w:val="21"/>
                <w:szCs w:val="21"/>
              </w:rPr>
              <w:t>特性指标（50/50分）</w:t>
            </w:r>
          </w:p>
        </w:tc>
        <w:tc>
          <w:tcPr>
            <w:tcW w:w="1500" w:type="dxa"/>
            <w:vMerge w:val="restart"/>
            <w:shd w:val="clear" w:color="auto" w:fill="auto"/>
            <w:noWrap w:val="0"/>
            <w:vAlign w:val="center"/>
          </w:tcPr>
          <w:p>
            <w:pPr>
              <w:snapToGrid w:val="0"/>
              <w:spacing w:line="640" w:lineRule="exact"/>
              <w:jc w:val="center"/>
              <w:rPr>
                <w:rFonts w:eastAsia="宋体"/>
                <w:kern w:val="0"/>
                <w:sz w:val="21"/>
                <w:szCs w:val="21"/>
              </w:rPr>
            </w:pPr>
            <w:r>
              <w:rPr>
                <w:rFonts w:eastAsia="宋体"/>
                <w:kern w:val="0"/>
                <w:sz w:val="21"/>
                <w:szCs w:val="21"/>
              </w:rPr>
              <w:t>经济效益</w:t>
            </w:r>
            <w:r>
              <w:rPr>
                <w:rFonts w:hint="eastAsia" w:eastAsia="宋体"/>
                <w:kern w:val="0"/>
                <w:sz w:val="21"/>
                <w:szCs w:val="21"/>
              </w:rPr>
              <w:t>（20/20分）</w:t>
            </w:r>
          </w:p>
        </w:tc>
        <w:tc>
          <w:tcPr>
            <w:tcW w:w="1776" w:type="dxa"/>
            <w:shd w:val="clear" w:color="auto" w:fill="auto"/>
            <w:noWrap w:val="0"/>
            <w:vAlign w:val="center"/>
          </w:tcPr>
          <w:p>
            <w:pPr>
              <w:widowControl/>
              <w:snapToGrid w:val="0"/>
              <w:spacing w:line="640" w:lineRule="exact"/>
              <w:jc w:val="center"/>
              <w:rPr>
                <w:rFonts w:eastAsia="宋体"/>
                <w:kern w:val="0"/>
                <w:sz w:val="21"/>
                <w:szCs w:val="21"/>
              </w:rPr>
            </w:pPr>
            <w:r>
              <w:rPr>
                <w:rFonts w:hint="eastAsia" w:eastAsia="宋体"/>
                <w:kern w:val="0"/>
                <w:sz w:val="21"/>
                <w:szCs w:val="21"/>
              </w:rPr>
              <w:t>销售</w:t>
            </w:r>
            <w:r>
              <w:rPr>
                <w:rFonts w:eastAsia="宋体"/>
                <w:kern w:val="0"/>
                <w:sz w:val="21"/>
                <w:szCs w:val="21"/>
              </w:rPr>
              <w:t>增长率</w:t>
            </w:r>
          </w:p>
        </w:tc>
        <w:tc>
          <w:tcPr>
            <w:tcW w:w="876" w:type="dxa"/>
            <w:shd w:val="clear" w:color="auto" w:fill="auto"/>
            <w:noWrap w:val="0"/>
            <w:vAlign w:val="center"/>
          </w:tcPr>
          <w:p>
            <w:pPr>
              <w:widowControl/>
              <w:snapToGrid w:val="0"/>
              <w:spacing w:line="640" w:lineRule="exact"/>
              <w:jc w:val="center"/>
              <w:rPr>
                <w:rFonts w:eastAsia="宋体"/>
                <w:kern w:val="0"/>
                <w:sz w:val="21"/>
                <w:szCs w:val="21"/>
              </w:rPr>
            </w:pPr>
            <w:r>
              <w:rPr>
                <w:rFonts w:eastAsia="宋体"/>
                <w:kern w:val="0"/>
                <w:sz w:val="21"/>
                <w:szCs w:val="21"/>
              </w:rPr>
              <w:t>10</w:t>
            </w:r>
          </w:p>
        </w:tc>
        <w:tc>
          <w:tcPr>
            <w:tcW w:w="840" w:type="dxa"/>
            <w:shd w:val="clear" w:color="auto" w:fill="auto"/>
            <w:noWrap w:val="0"/>
            <w:vAlign w:val="center"/>
          </w:tcPr>
          <w:p>
            <w:pPr>
              <w:widowControl/>
              <w:spacing w:line="640" w:lineRule="exact"/>
              <w:jc w:val="center"/>
              <w:rPr>
                <w:rFonts w:eastAsia="宋体"/>
                <w:kern w:val="0"/>
                <w:sz w:val="21"/>
                <w:szCs w:val="21"/>
              </w:rPr>
            </w:pPr>
            <w:r>
              <w:rPr>
                <w:rFonts w:eastAsia="宋体"/>
                <w:kern w:val="0"/>
                <w:sz w:val="21"/>
                <w:szCs w:val="21"/>
              </w:rPr>
              <w:t>9.</w:t>
            </w:r>
            <w:r>
              <w:rPr>
                <w:rFonts w:hint="eastAsia" w:eastAsia="宋体"/>
                <w:kern w:val="0"/>
                <w:sz w:val="21"/>
                <w:szCs w:val="21"/>
              </w:rPr>
              <w:t>8</w:t>
            </w:r>
          </w:p>
        </w:tc>
        <w:tc>
          <w:tcPr>
            <w:tcW w:w="2412" w:type="dxa"/>
            <w:shd w:val="clear" w:color="auto" w:fill="auto"/>
            <w:noWrap w:val="0"/>
            <w:vAlign w:val="center"/>
          </w:tcPr>
          <w:p>
            <w:pPr>
              <w:widowControl/>
              <w:spacing w:line="360" w:lineRule="exact"/>
              <w:jc w:val="center"/>
              <w:rPr>
                <w:rFonts w:hint="eastAsia" w:eastAsia="宋体"/>
                <w:kern w:val="0"/>
                <w:sz w:val="21"/>
                <w:szCs w:val="21"/>
                <w:lang w:eastAsia="zh-CN"/>
              </w:rPr>
            </w:pPr>
            <w:r>
              <w:rPr>
                <w:rFonts w:hint="eastAsia" w:eastAsia="宋体"/>
                <w:kern w:val="0"/>
                <w:sz w:val="21"/>
                <w:szCs w:val="21"/>
              </w:rPr>
              <w:t>安岳为农服务中心的销售带动作用有待进一步</w:t>
            </w:r>
            <w:r>
              <w:rPr>
                <w:rFonts w:hint="eastAsia" w:eastAsia="宋体"/>
                <w:kern w:val="0"/>
                <w:sz w:val="21"/>
                <w:szCs w:val="21"/>
                <w:lang w:val="en-US" w:eastAsia="zh-CN"/>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vMerge w:val="continue"/>
            <w:shd w:val="clear" w:color="auto" w:fill="auto"/>
            <w:noWrap w:val="0"/>
            <w:vAlign w:val="top"/>
          </w:tcPr>
          <w:p>
            <w:pPr>
              <w:snapToGrid w:val="0"/>
              <w:spacing w:line="640" w:lineRule="exact"/>
              <w:rPr>
                <w:rFonts w:eastAsia="宋体"/>
                <w:kern w:val="0"/>
                <w:sz w:val="21"/>
                <w:szCs w:val="21"/>
              </w:rPr>
            </w:pPr>
          </w:p>
        </w:tc>
        <w:tc>
          <w:tcPr>
            <w:tcW w:w="1500" w:type="dxa"/>
            <w:vMerge w:val="continue"/>
            <w:shd w:val="clear" w:color="auto" w:fill="auto"/>
            <w:noWrap w:val="0"/>
            <w:vAlign w:val="top"/>
          </w:tcPr>
          <w:p>
            <w:pPr>
              <w:snapToGrid w:val="0"/>
              <w:spacing w:line="640" w:lineRule="exact"/>
              <w:rPr>
                <w:rFonts w:eastAsia="宋体"/>
                <w:kern w:val="0"/>
                <w:sz w:val="21"/>
                <w:szCs w:val="21"/>
              </w:rPr>
            </w:pPr>
          </w:p>
        </w:tc>
        <w:tc>
          <w:tcPr>
            <w:tcW w:w="1776" w:type="dxa"/>
            <w:shd w:val="clear" w:color="auto" w:fill="auto"/>
            <w:noWrap w:val="0"/>
            <w:vAlign w:val="center"/>
          </w:tcPr>
          <w:p>
            <w:pPr>
              <w:widowControl/>
              <w:snapToGrid w:val="0"/>
              <w:spacing w:line="640" w:lineRule="exact"/>
              <w:jc w:val="center"/>
              <w:rPr>
                <w:rFonts w:eastAsia="宋体"/>
                <w:kern w:val="0"/>
                <w:sz w:val="21"/>
                <w:szCs w:val="21"/>
              </w:rPr>
            </w:pPr>
            <w:r>
              <w:rPr>
                <w:rFonts w:hint="eastAsia" w:eastAsia="宋体"/>
                <w:kern w:val="0"/>
                <w:sz w:val="21"/>
                <w:szCs w:val="21"/>
              </w:rPr>
              <w:t>净利润增长率</w:t>
            </w:r>
          </w:p>
        </w:tc>
        <w:tc>
          <w:tcPr>
            <w:tcW w:w="876" w:type="dxa"/>
            <w:shd w:val="clear" w:color="auto" w:fill="auto"/>
            <w:noWrap w:val="0"/>
            <w:vAlign w:val="center"/>
          </w:tcPr>
          <w:p>
            <w:pPr>
              <w:widowControl/>
              <w:snapToGrid w:val="0"/>
              <w:spacing w:line="640" w:lineRule="exact"/>
              <w:jc w:val="center"/>
              <w:rPr>
                <w:rFonts w:eastAsia="宋体"/>
                <w:kern w:val="0"/>
                <w:sz w:val="21"/>
                <w:szCs w:val="21"/>
              </w:rPr>
            </w:pPr>
            <w:r>
              <w:rPr>
                <w:rFonts w:eastAsia="宋体"/>
                <w:kern w:val="0"/>
                <w:sz w:val="21"/>
                <w:szCs w:val="21"/>
              </w:rPr>
              <w:t>10</w:t>
            </w:r>
          </w:p>
        </w:tc>
        <w:tc>
          <w:tcPr>
            <w:tcW w:w="840" w:type="dxa"/>
            <w:shd w:val="clear" w:color="auto" w:fill="auto"/>
            <w:noWrap w:val="0"/>
            <w:vAlign w:val="center"/>
          </w:tcPr>
          <w:p>
            <w:pPr>
              <w:widowControl/>
              <w:spacing w:line="640" w:lineRule="exact"/>
              <w:jc w:val="center"/>
              <w:rPr>
                <w:rFonts w:eastAsia="宋体"/>
                <w:kern w:val="0"/>
                <w:sz w:val="21"/>
                <w:szCs w:val="21"/>
              </w:rPr>
            </w:pPr>
            <w:r>
              <w:rPr>
                <w:rFonts w:eastAsia="宋体"/>
                <w:kern w:val="0"/>
                <w:sz w:val="21"/>
                <w:szCs w:val="21"/>
              </w:rPr>
              <w:t>9</w:t>
            </w:r>
            <w:r>
              <w:rPr>
                <w:rFonts w:hint="eastAsia" w:eastAsia="宋体"/>
                <w:kern w:val="0"/>
                <w:sz w:val="21"/>
                <w:szCs w:val="21"/>
              </w:rPr>
              <w:t>.8</w:t>
            </w:r>
          </w:p>
        </w:tc>
        <w:tc>
          <w:tcPr>
            <w:tcW w:w="2412" w:type="dxa"/>
            <w:shd w:val="clear" w:color="auto" w:fill="auto"/>
            <w:noWrap w:val="0"/>
            <w:vAlign w:val="center"/>
          </w:tcPr>
          <w:p>
            <w:pPr>
              <w:widowControl/>
              <w:spacing w:line="360" w:lineRule="exact"/>
              <w:jc w:val="center"/>
              <w:rPr>
                <w:rFonts w:hint="eastAsia" w:eastAsia="宋体"/>
                <w:kern w:val="0"/>
                <w:sz w:val="21"/>
                <w:szCs w:val="21"/>
                <w:lang w:val="en-US" w:eastAsia="zh-CN"/>
              </w:rPr>
            </w:pPr>
            <w:r>
              <w:rPr>
                <w:rFonts w:hint="eastAsia" w:eastAsia="宋体"/>
                <w:kern w:val="0"/>
                <w:sz w:val="21"/>
                <w:szCs w:val="21"/>
              </w:rPr>
              <w:t>安岳为农服务中心的净利润增长带动作用有待进一步</w:t>
            </w:r>
            <w:r>
              <w:rPr>
                <w:rFonts w:hint="eastAsia" w:eastAsia="宋体"/>
                <w:kern w:val="0"/>
                <w:sz w:val="21"/>
                <w:szCs w:val="21"/>
                <w:lang w:val="en-US" w:eastAsia="zh-CN"/>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vMerge w:val="continue"/>
            <w:shd w:val="clear" w:color="auto" w:fill="auto"/>
            <w:noWrap w:val="0"/>
            <w:vAlign w:val="top"/>
          </w:tcPr>
          <w:p>
            <w:pPr>
              <w:snapToGrid w:val="0"/>
              <w:spacing w:line="640" w:lineRule="exact"/>
              <w:rPr>
                <w:rFonts w:eastAsia="宋体"/>
                <w:kern w:val="0"/>
                <w:sz w:val="21"/>
                <w:szCs w:val="21"/>
              </w:rPr>
            </w:pPr>
          </w:p>
        </w:tc>
        <w:tc>
          <w:tcPr>
            <w:tcW w:w="1500" w:type="dxa"/>
            <w:vMerge w:val="restart"/>
            <w:shd w:val="clear" w:color="auto" w:fill="auto"/>
            <w:noWrap w:val="0"/>
            <w:vAlign w:val="center"/>
          </w:tcPr>
          <w:p>
            <w:pPr>
              <w:snapToGrid w:val="0"/>
              <w:spacing w:line="640" w:lineRule="exact"/>
              <w:jc w:val="center"/>
              <w:rPr>
                <w:rFonts w:eastAsia="宋体"/>
                <w:kern w:val="0"/>
                <w:sz w:val="21"/>
                <w:szCs w:val="21"/>
              </w:rPr>
            </w:pPr>
            <w:r>
              <w:rPr>
                <w:rFonts w:eastAsia="宋体"/>
                <w:kern w:val="0"/>
                <w:sz w:val="21"/>
                <w:szCs w:val="21"/>
              </w:rPr>
              <w:t>社会效益</w:t>
            </w:r>
            <w:r>
              <w:rPr>
                <w:rFonts w:hint="eastAsia" w:eastAsia="宋体"/>
                <w:kern w:val="0"/>
                <w:sz w:val="21"/>
                <w:szCs w:val="21"/>
              </w:rPr>
              <w:t>（30/30分）</w:t>
            </w:r>
          </w:p>
        </w:tc>
        <w:tc>
          <w:tcPr>
            <w:tcW w:w="1776" w:type="dxa"/>
            <w:shd w:val="clear" w:color="auto" w:fill="auto"/>
            <w:noWrap w:val="0"/>
            <w:vAlign w:val="center"/>
          </w:tcPr>
          <w:p>
            <w:pPr>
              <w:widowControl/>
              <w:snapToGrid w:val="0"/>
              <w:spacing w:line="640" w:lineRule="exact"/>
              <w:jc w:val="center"/>
              <w:rPr>
                <w:rFonts w:eastAsia="宋体"/>
                <w:kern w:val="0"/>
                <w:sz w:val="21"/>
                <w:szCs w:val="21"/>
              </w:rPr>
            </w:pPr>
            <w:r>
              <w:rPr>
                <w:rFonts w:hint="eastAsia" w:eastAsia="宋体"/>
                <w:kern w:val="0"/>
                <w:sz w:val="21"/>
                <w:szCs w:val="21"/>
              </w:rPr>
              <w:t>就业贡献率</w:t>
            </w:r>
          </w:p>
        </w:tc>
        <w:tc>
          <w:tcPr>
            <w:tcW w:w="876" w:type="dxa"/>
            <w:shd w:val="clear" w:color="auto" w:fill="auto"/>
            <w:noWrap w:val="0"/>
            <w:vAlign w:val="center"/>
          </w:tcPr>
          <w:p>
            <w:pPr>
              <w:widowControl/>
              <w:snapToGrid w:val="0"/>
              <w:spacing w:line="640" w:lineRule="exact"/>
              <w:jc w:val="center"/>
              <w:rPr>
                <w:rFonts w:eastAsia="宋体"/>
                <w:kern w:val="0"/>
                <w:sz w:val="21"/>
                <w:szCs w:val="21"/>
              </w:rPr>
            </w:pPr>
            <w:r>
              <w:rPr>
                <w:rFonts w:hint="eastAsia" w:eastAsia="宋体"/>
                <w:kern w:val="0"/>
                <w:sz w:val="21"/>
                <w:szCs w:val="21"/>
              </w:rPr>
              <w:t>10</w:t>
            </w:r>
          </w:p>
        </w:tc>
        <w:tc>
          <w:tcPr>
            <w:tcW w:w="840" w:type="dxa"/>
            <w:shd w:val="clear" w:color="auto" w:fill="auto"/>
            <w:noWrap w:val="0"/>
            <w:vAlign w:val="center"/>
          </w:tcPr>
          <w:p>
            <w:pPr>
              <w:widowControl/>
              <w:spacing w:line="640" w:lineRule="exact"/>
              <w:jc w:val="center"/>
              <w:rPr>
                <w:rFonts w:eastAsia="宋体"/>
                <w:kern w:val="0"/>
                <w:sz w:val="21"/>
                <w:szCs w:val="21"/>
              </w:rPr>
            </w:pPr>
            <w:r>
              <w:rPr>
                <w:rFonts w:hint="eastAsia" w:eastAsia="宋体"/>
                <w:kern w:val="0"/>
                <w:sz w:val="21"/>
                <w:szCs w:val="21"/>
              </w:rPr>
              <w:t>10</w:t>
            </w:r>
          </w:p>
        </w:tc>
        <w:tc>
          <w:tcPr>
            <w:tcW w:w="2412" w:type="dxa"/>
            <w:shd w:val="clear" w:color="auto" w:fill="auto"/>
            <w:noWrap w:val="0"/>
            <w:vAlign w:val="center"/>
          </w:tcPr>
          <w:p>
            <w:pPr>
              <w:widowControl/>
              <w:spacing w:line="360" w:lineRule="exact"/>
              <w:jc w:val="center"/>
              <w:rPr>
                <w:rFonts w:hint="eastAsia"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vMerge w:val="continue"/>
            <w:shd w:val="clear" w:color="auto" w:fill="auto"/>
            <w:noWrap w:val="0"/>
            <w:vAlign w:val="top"/>
          </w:tcPr>
          <w:p>
            <w:pPr>
              <w:snapToGrid w:val="0"/>
              <w:spacing w:line="640" w:lineRule="exact"/>
              <w:rPr>
                <w:rFonts w:eastAsia="宋体"/>
                <w:kern w:val="0"/>
                <w:sz w:val="21"/>
                <w:szCs w:val="21"/>
              </w:rPr>
            </w:pPr>
          </w:p>
        </w:tc>
        <w:tc>
          <w:tcPr>
            <w:tcW w:w="1500" w:type="dxa"/>
            <w:vMerge w:val="continue"/>
            <w:shd w:val="clear" w:color="auto" w:fill="auto"/>
            <w:noWrap w:val="0"/>
            <w:vAlign w:val="center"/>
          </w:tcPr>
          <w:p>
            <w:pPr>
              <w:snapToGrid w:val="0"/>
              <w:spacing w:line="640" w:lineRule="exact"/>
              <w:jc w:val="center"/>
              <w:rPr>
                <w:rFonts w:eastAsia="宋体"/>
                <w:kern w:val="0"/>
                <w:sz w:val="21"/>
                <w:szCs w:val="21"/>
              </w:rPr>
            </w:pPr>
          </w:p>
        </w:tc>
        <w:tc>
          <w:tcPr>
            <w:tcW w:w="1776" w:type="dxa"/>
            <w:shd w:val="clear" w:color="auto" w:fill="auto"/>
            <w:noWrap w:val="0"/>
            <w:vAlign w:val="center"/>
          </w:tcPr>
          <w:p>
            <w:pPr>
              <w:widowControl/>
              <w:snapToGrid w:val="0"/>
              <w:spacing w:line="640" w:lineRule="exact"/>
              <w:jc w:val="center"/>
              <w:rPr>
                <w:rFonts w:eastAsia="宋体"/>
                <w:kern w:val="0"/>
                <w:sz w:val="21"/>
                <w:szCs w:val="21"/>
              </w:rPr>
            </w:pPr>
            <w:r>
              <w:rPr>
                <w:rFonts w:hint="eastAsia" w:eastAsia="宋体"/>
                <w:kern w:val="0"/>
                <w:sz w:val="21"/>
                <w:szCs w:val="21"/>
              </w:rPr>
              <w:t>社会贡献率</w:t>
            </w:r>
          </w:p>
        </w:tc>
        <w:tc>
          <w:tcPr>
            <w:tcW w:w="876" w:type="dxa"/>
            <w:shd w:val="clear" w:color="auto" w:fill="auto"/>
            <w:noWrap w:val="0"/>
            <w:vAlign w:val="center"/>
          </w:tcPr>
          <w:p>
            <w:pPr>
              <w:widowControl/>
              <w:snapToGrid w:val="0"/>
              <w:spacing w:line="640" w:lineRule="exact"/>
              <w:jc w:val="center"/>
              <w:rPr>
                <w:rFonts w:eastAsia="宋体"/>
                <w:kern w:val="0"/>
                <w:sz w:val="21"/>
                <w:szCs w:val="21"/>
              </w:rPr>
            </w:pPr>
            <w:r>
              <w:rPr>
                <w:rFonts w:hint="eastAsia" w:eastAsia="宋体"/>
                <w:kern w:val="0"/>
                <w:sz w:val="21"/>
                <w:szCs w:val="21"/>
              </w:rPr>
              <w:t>10</w:t>
            </w:r>
          </w:p>
        </w:tc>
        <w:tc>
          <w:tcPr>
            <w:tcW w:w="840" w:type="dxa"/>
            <w:shd w:val="clear" w:color="auto" w:fill="auto"/>
            <w:noWrap w:val="0"/>
            <w:vAlign w:val="center"/>
          </w:tcPr>
          <w:p>
            <w:pPr>
              <w:widowControl/>
              <w:spacing w:line="640" w:lineRule="exact"/>
              <w:jc w:val="center"/>
              <w:rPr>
                <w:rFonts w:eastAsia="宋体"/>
                <w:kern w:val="0"/>
                <w:sz w:val="21"/>
                <w:szCs w:val="21"/>
              </w:rPr>
            </w:pPr>
            <w:r>
              <w:rPr>
                <w:rFonts w:hint="eastAsia" w:eastAsia="宋体"/>
                <w:kern w:val="0"/>
                <w:sz w:val="21"/>
                <w:szCs w:val="21"/>
              </w:rPr>
              <w:t>10</w:t>
            </w:r>
          </w:p>
        </w:tc>
        <w:tc>
          <w:tcPr>
            <w:tcW w:w="2412" w:type="dxa"/>
            <w:shd w:val="clear" w:color="auto" w:fill="auto"/>
            <w:noWrap w:val="0"/>
            <w:vAlign w:val="center"/>
          </w:tcPr>
          <w:p>
            <w:pPr>
              <w:widowControl/>
              <w:spacing w:line="360" w:lineRule="exact"/>
              <w:jc w:val="center"/>
              <w:rPr>
                <w:rFonts w:hint="eastAsia" w:eastAsia="宋体"/>
                <w:kern w:val="0"/>
                <w:sz w:val="21"/>
                <w:szCs w:val="21"/>
              </w:rPr>
            </w:pPr>
            <w:r>
              <w:rPr>
                <w:rFonts w:hint="eastAsia" w:eastAsia="宋体"/>
                <w:kern w:val="0"/>
                <w:sz w:val="21"/>
                <w:szCs w:val="21"/>
              </w:rPr>
              <w:t>依托为农服务中心对农资供应、农技服务、土地托管的带动作用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vMerge w:val="continue"/>
            <w:shd w:val="clear" w:color="auto" w:fill="auto"/>
            <w:noWrap w:val="0"/>
            <w:vAlign w:val="top"/>
          </w:tcPr>
          <w:p>
            <w:pPr>
              <w:snapToGrid w:val="0"/>
              <w:spacing w:line="640" w:lineRule="exact"/>
              <w:rPr>
                <w:rFonts w:eastAsia="宋体"/>
                <w:kern w:val="0"/>
                <w:sz w:val="21"/>
                <w:szCs w:val="21"/>
              </w:rPr>
            </w:pPr>
          </w:p>
        </w:tc>
        <w:tc>
          <w:tcPr>
            <w:tcW w:w="1500" w:type="dxa"/>
            <w:vMerge w:val="continue"/>
            <w:shd w:val="clear" w:color="auto" w:fill="auto"/>
            <w:noWrap w:val="0"/>
            <w:vAlign w:val="center"/>
          </w:tcPr>
          <w:p>
            <w:pPr>
              <w:snapToGrid w:val="0"/>
              <w:spacing w:line="640" w:lineRule="exact"/>
              <w:jc w:val="center"/>
              <w:rPr>
                <w:rFonts w:eastAsia="宋体"/>
                <w:kern w:val="0"/>
                <w:sz w:val="21"/>
                <w:szCs w:val="21"/>
              </w:rPr>
            </w:pPr>
          </w:p>
        </w:tc>
        <w:tc>
          <w:tcPr>
            <w:tcW w:w="1776" w:type="dxa"/>
            <w:shd w:val="clear" w:color="auto" w:fill="auto"/>
            <w:noWrap w:val="0"/>
            <w:vAlign w:val="center"/>
          </w:tcPr>
          <w:p>
            <w:pPr>
              <w:widowControl/>
              <w:spacing w:line="360" w:lineRule="exact"/>
              <w:jc w:val="center"/>
              <w:rPr>
                <w:rFonts w:eastAsia="宋体"/>
                <w:kern w:val="0"/>
                <w:sz w:val="21"/>
                <w:szCs w:val="21"/>
              </w:rPr>
            </w:pPr>
            <w:r>
              <w:rPr>
                <w:rFonts w:hint="eastAsia" w:eastAsia="宋体"/>
                <w:kern w:val="0"/>
                <w:sz w:val="21"/>
                <w:szCs w:val="21"/>
              </w:rPr>
              <w:t>对农资供应的保障作用</w:t>
            </w:r>
          </w:p>
        </w:tc>
        <w:tc>
          <w:tcPr>
            <w:tcW w:w="876" w:type="dxa"/>
            <w:shd w:val="clear" w:color="auto" w:fill="auto"/>
            <w:noWrap w:val="0"/>
            <w:vAlign w:val="center"/>
          </w:tcPr>
          <w:p>
            <w:pPr>
              <w:widowControl/>
              <w:snapToGrid w:val="0"/>
              <w:spacing w:line="640" w:lineRule="exact"/>
              <w:jc w:val="center"/>
              <w:rPr>
                <w:rFonts w:eastAsia="宋体"/>
                <w:kern w:val="0"/>
                <w:sz w:val="21"/>
                <w:szCs w:val="21"/>
              </w:rPr>
            </w:pPr>
            <w:r>
              <w:rPr>
                <w:rFonts w:eastAsia="宋体"/>
                <w:kern w:val="0"/>
                <w:sz w:val="21"/>
                <w:szCs w:val="21"/>
              </w:rPr>
              <w:t>10</w:t>
            </w:r>
          </w:p>
        </w:tc>
        <w:tc>
          <w:tcPr>
            <w:tcW w:w="840" w:type="dxa"/>
            <w:shd w:val="clear" w:color="auto" w:fill="auto"/>
            <w:noWrap w:val="0"/>
            <w:vAlign w:val="center"/>
          </w:tcPr>
          <w:p>
            <w:pPr>
              <w:widowControl/>
              <w:spacing w:line="640" w:lineRule="exact"/>
              <w:jc w:val="center"/>
              <w:rPr>
                <w:rFonts w:eastAsia="宋体"/>
                <w:kern w:val="0"/>
                <w:sz w:val="21"/>
                <w:szCs w:val="21"/>
              </w:rPr>
            </w:pPr>
            <w:r>
              <w:rPr>
                <w:rFonts w:hint="eastAsia" w:eastAsia="宋体"/>
                <w:kern w:val="0"/>
                <w:sz w:val="21"/>
                <w:szCs w:val="21"/>
              </w:rPr>
              <w:t>10</w:t>
            </w:r>
          </w:p>
        </w:tc>
        <w:tc>
          <w:tcPr>
            <w:tcW w:w="2412" w:type="dxa"/>
            <w:shd w:val="clear" w:color="auto" w:fill="auto"/>
            <w:noWrap w:val="0"/>
            <w:vAlign w:val="center"/>
          </w:tcPr>
          <w:p>
            <w:pPr>
              <w:widowControl/>
              <w:spacing w:line="640" w:lineRule="exact"/>
              <w:jc w:val="center"/>
              <w:rPr>
                <w:rFonts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584" w:type="dxa"/>
            <w:gridSpan w:val="3"/>
            <w:shd w:val="clear" w:color="auto" w:fill="auto"/>
            <w:noWrap w:val="0"/>
            <w:vAlign w:val="center"/>
          </w:tcPr>
          <w:p>
            <w:pPr>
              <w:widowControl/>
              <w:snapToGrid w:val="0"/>
              <w:spacing w:line="640" w:lineRule="exact"/>
              <w:jc w:val="center"/>
              <w:rPr>
                <w:rFonts w:eastAsia="宋体"/>
                <w:b/>
                <w:kern w:val="0"/>
                <w:sz w:val="21"/>
                <w:szCs w:val="21"/>
              </w:rPr>
            </w:pPr>
            <w:r>
              <w:rPr>
                <w:rFonts w:eastAsia="宋体"/>
                <w:b/>
                <w:kern w:val="0"/>
                <w:sz w:val="21"/>
                <w:szCs w:val="21"/>
              </w:rPr>
              <w:t>总</w:t>
            </w:r>
            <w:r>
              <w:rPr>
                <w:rFonts w:hint="eastAsia" w:eastAsia="宋体"/>
                <w:b/>
                <w:kern w:val="0"/>
                <w:sz w:val="21"/>
                <w:szCs w:val="21"/>
              </w:rPr>
              <w:t xml:space="preserve">  </w:t>
            </w:r>
            <w:r>
              <w:rPr>
                <w:rFonts w:eastAsia="宋体"/>
                <w:b/>
                <w:kern w:val="0"/>
                <w:sz w:val="21"/>
                <w:szCs w:val="21"/>
              </w:rPr>
              <w:t>分</w:t>
            </w:r>
          </w:p>
        </w:tc>
        <w:tc>
          <w:tcPr>
            <w:tcW w:w="876" w:type="dxa"/>
            <w:shd w:val="clear" w:color="auto" w:fill="auto"/>
            <w:noWrap w:val="0"/>
            <w:vAlign w:val="center"/>
          </w:tcPr>
          <w:p>
            <w:pPr>
              <w:widowControl/>
              <w:spacing w:line="640" w:lineRule="exact"/>
              <w:jc w:val="center"/>
              <w:rPr>
                <w:rFonts w:eastAsia="宋体"/>
                <w:b/>
                <w:kern w:val="0"/>
                <w:sz w:val="21"/>
                <w:szCs w:val="21"/>
              </w:rPr>
            </w:pPr>
            <w:r>
              <w:rPr>
                <w:rFonts w:eastAsia="宋体"/>
                <w:b/>
                <w:kern w:val="0"/>
                <w:sz w:val="21"/>
                <w:szCs w:val="21"/>
              </w:rPr>
              <w:t>100</w:t>
            </w:r>
          </w:p>
        </w:tc>
        <w:tc>
          <w:tcPr>
            <w:tcW w:w="840" w:type="dxa"/>
            <w:shd w:val="clear" w:color="auto" w:fill="auto"/>
            <w:noWrap w:val="0"/>
            <w:vAlign w:val="center"/>
          </w:tcPr>
          <w:p>
            <w:pPr>
              <w:widowControl/>
              <w:spacing w:line="640" w:lineRule="exact"/>
              <w:jc w:val="center"/>
              <w:rPr>
                <w:rFonts w:eastAsia="宋体"/>
                <w:b/>
                <w:kern w:val="0"/>
                <w:sz w:val="21"/>
                <w:szCs w:val="21"/>
              </w:rPr>
            </w:pPr>
            <w:r>
              <w:rPr>
                <w:rFonts w:eastAsia="宋体"/>
                <w:b/>
                <w:kern w:val="0"/>
                <w:sz w:val="21"/>
                <w:szCs w:val="21"/>
              </w:rPr>
              <w:t>9</w:t>
            </w:r>
            <w:r>
              <w:rPr>
                <w:rFonts w:hint="eastAsia" w:eastAsia="宋体"/>
                <w:b/>
                <w:kern w:val="0"/>
                <w:sz w:val="21"/>
                <w:szCs w:val="21"/>
              </w:rPr>
              <w:t>9.6</w:t>
            </w:r>
            <w:r>
              <w:rPr>
                <w:rFonts w:eastAsia="宋体"/>
                <w:b/>
                <w:kern w:val="0"/>
                <w:sz w:val="21"/>
                <w:szCs w:val="21"/>
              </w:rPr>
              <w:fldChar w:fldCharType="begin"/>
            </w:r>
            <w:r>
              <w:rPr>
                <w:rFonts w:eastAsia="宋体"/>
                <w:b/>
                <w:kern w:val="0"/>
                <w:sz w:val="21"/>
                <w:szCs w:val="21"/>
              </w:rPr>
              <w:instrText xml:space="preserve"> =SUM(ABOVE) </w:instrText>
            </w:r>
            <w:r>
              <w:rPr>
                <w:rFonts w:eastAsia="宋体"/>
                <w:b/>
                <w:kern w:val="0"/>
                <w:sz w:val="21"/>
                <w:szCs w:val="21"/>
              </w:rPr>
              <w:fldChar w:fldCharType="end"/>
            </w:r>
          </w:p>
        </w:tc>
        <w:tc>
          <w:tcPr>
            <w:tcW w:w="2412" w:type="dxa"/>
            <w:shd w:val="clear" w:color="auto" w:fill="auto"/>
            <w:noWrap w:val="0"/>
            <w:vAlign w:val="center"/>
          </w:tcPr>
          <w:p>
            <w:pPr>
              <w:widowControl/>
              <w:spacing w:line="640" w:lineRule="exact"/>
              <w:jc w:val="center"/>
              <w:rPr>
                <w:rFonts w:eastAsia="宋体"/>
                <w:b/>
                <w:kern w:val="0"/>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四、绩效评价分析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楷体_GB2312" w:hAnsi="宋体" w:eastAsia="楷体_GB2312"/>
          <w:b/>
          <w:sz w:val="32"/>
          <w:szCs w:val="32"/>
          <w:lang w:eastAsia="zh-CN"/>
        </w:rPr>
      </w:pPr>
      <w:r>
        <w:rPr>
          <w:rFonts w:hint="eastAsia" w:ascii="楷体_GB2312" w:hAnsi="宋体" w:eastAsia="楷体_GB2312"/>
          <w:b/>
          <w:sz w:val="32"/>
          <w:szCs w:val="32"/>
          <w:lang w:eastAsia="zh-CN"/>
        </w:rPr>
        <w:t>（一）项目决策情况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家淡储化肥示范及有关文件指导意见，为保障我省农业生产安全，平抑价格，缓解化肥常年生产，季节使用的矛盾；保障特殊时期对边远山区、民族地区和突发自然灾害地区的救灾、救助需要，我省于2004年经省政府第52次常务会议研究决定，建立了省级化肥储备制度，储备工作由省供销社负责，财政厅做好财政贴息的核定和拨付工作，相关政策一直延续至今。为了做好省级化肥、农药、棉花储备工作，加强、规范相关储备管理，2018年6月15日，四川省供销合作社联合社印发《省级化肥储备管理暂行办法》、《省级农药储备管理暂行办法》、《省级棉花储备管理暂行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川供经〔</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rPr>
        <w:t>138号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三个储备管理办法</w:t>
      </w:r>
      <w:r>
        <w:rPr>
          <w:rFonts w:hint="eastAsia" w:ascii="仿宋_GB2312" w:hAnsi="仿宋_GB2312" w:eastAsia="仿宋_GB2312" w:cs="仿宋_GB2312"/>
          <w:sz w:val="32"/>
          <w:szCs w:val="32"/>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3" w:firstLineChars="200"/>
        <w:textAlignment w:val="auto"/>
        <w:outlineLvl w:val="9"/>
        <w:rPr>
          <w:rFonts w:hint="eastAsia" w:ascii="方正楷体_GBK" w:hAnsi="方正楷体_GBK" w:eastAsia="方正楷体_GBK" w:cs="方正楷体_GBK"/>
          <w:b/>
          <w:sz w:val="32"/>
          <w:szCs w:val="32"/>
          <w:lang w:eastAsia="zh-CN"/>
        </w:rPr>
      </w:pPr>
      <w:r>
        <w:rPr>
          <w:rFonts w:hint="eastAsia" w:ascii="方正楷体_GBK" w:hAnsi="方正楷体_GBK" w:eastAsia="方正楷体_GBK" w:cs="方正楷体_GBK"/>
          <w:b/>
          <w:sz w:val="32"/>
          <w:szCs w:val="32"/>
          <w:lang w:eastAsia="zh-CN"/>
        </w:rPr>
        <w:t>项目管理情况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邦力达公司于2019年10月26日向公司各部门、分子公司下达储备计划，在川北、川南、川西、川东、川中合理布局储备计划，并向各分子公司提供资金支持。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楷体_GB2312" w:hAnsi="宋体" w:eastAsia="楷体_GB2312"/>
          <w:b/>
          <w:sz w:val="32"/>
          <w:szCs w:val="32"/>
          <w:lang w:eastAsia="zh-CN"/>
        </w:rPr>
      </w:pPr>
      <w:r>
        <w:rPr>
          <w:rFonts w:hint="eastAsia" w:ascii="楷体_GB2312" w:hAnsi="宋体" w:eastAsia="楷体_GB2312"/>
          <w:b/>
          <w:sz w:val="32"/>
          <w:szCs w:val="32"/>
          <w:lang w:eastAsia="zh-CN"/>
        </w:rPr>
        <w:t>（三）项目产出情况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11月至2020年4月储备期间，邦力达公司累计调入量为128.18万吨，月平均库存量为22.04万吨。平均资金占用50,632.31万元，按照贷款加权平均年利率4.98%计算，占用资金利息共计1,260.75万元。在储备期间完成了2020年的省级化肥储备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（四）项目效益情况。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实践证明，省级储备政策是政府在市场经济条件下运用经济手段调控市场的有效手段，对平抑农资市场价格、保护种粮农民利益起到了积极作用。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起到了平抑化肥市场价格的作用。实行淡季储备补贴的政策，促使邦力达公司坚持从农民群众的利益出发，严格执行国家和省有关部门规定的批零差率，不随意涨价，并建立和完善价格内控机制、通过依托农资连锁配送经营网络减少流通环节、降低损耗等措施最大限度地减少农资流通成本，积极为农民提供物美价廉的农资商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效地保障边、少地区农业生产用肥。今年，针对化肥高位运行，市场波动大，成本上升的特点，公司在第一时间作出反应，一方面发挥邦力达农资连锁的网络优势，提早调运各种储备化肥到攀西等边、少地区储备，保障了边、少地区春耕用肥的供应，为助农增收作出了贡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（三）保护了农民种粮积极性。省级储备政策不仅调动了农民的种粮积极性，而且还密切了党群关系、干群关系，把党中央扶持“三农”、促农增收政策落实到了实处，其意义深远。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hAnsi="宋体" w:eastAsia="黑体"/>
          <w:sz w:val="32"/>
          <w:szCs w:val="32"/>
        </w:rPr>
      </w:pPr>
      <w:r>
        <w:rPr>
          <w:rFonts w:hint="eastAsia" w:ascii="黑体" w:hAnsi="宋体" w:eastAsia="黑体"/>
          <w:sz w:val="32"/>
          <w:szCs w:val="32"/>
        </w:rPr>
        <w:t>五、存在主要问题</w:t>
      </w:r>
    </w:p>
    <w:p>
      <w:pPr>
        <w:keepNext w:val="0"/>
        <w:keepLines w:val="0"/>
        <w:pageBreakBefore w:val="0"/>
        <w:widowControl/>
        <w:kinsoku/>
        <w:wordWrap/>
        <w:overflowPunct/>
        <w:topLinePunct w:val="0"/>
        <w:autoSpaceDE/>
        <w:autoSpaceDN/>
        <w:bidi w:val="0"/>
        <w:adjustRightInd w:val="0"/>
        <w:snapToGrid w:val="0"/>
        <w:spacing w:line="560" w:lineRule="exact"/>
        <w:ind w:firstLine="633" w:firstLineChars="198"/>
        <w:jc w:val="left"/>
        <w:textAlignment w:val="auto"/>
        <w:rPr>
          <w:rFonts w:hint="eastAsia" w:ascii="仿宋_GB2312" w:hAnsi="仿宋" w:eastAsia="仿宋_GB2312"/>
          <w:bCs/>
          <w:sz w:val="32"/>
          <w:szCs w:val="32"/>
        </w:rPr>
      </w:pPr>
      <w:r>
        <w:rPr>
          <w:rFonts w:hint="eastAsia" w:ascii="仿宋_GB2312" w:hAnsi="仿宋" w:eastAsia="仿宋_GB2312"/>
          <w:bCs/>
          <w:sz w:val="32"/>
          <w:szCs w:val="32"/>
        </w:rPr>
        <w:t>邦力达公司在省级化肥储备期间，从省内外工厂采购化肥量较大，通过多年储备化肥总结的经验，化肥储备必须与采购销售经营活动紧密结合，包括采购时点的把握，根据各品种的供求关系，实时调整储备化肥品种，规避较大的价差损失。</w:t>
      </w:r>
    </w:p>
    <w:p>
      <w:pPr>
        <w:keepNext w:val="0"/>
        <w:keepLines w:val="0"/>
        <w:pageBreakBefore w:val="0"/>
        <w:widowControl/>
        <w:kinsoku/>
        <w:wordWrap/>
        <w:overflowPunct/>
        <w:topLinePunct w:val="0"/>
        <w:autoSpaceDE/>
        <w:autoSpaceDN/>
        <w:bidi w:val="0"/>
        <w:adjustRightInd w:val="0"/>
        <w:snapToGrid w:val="0"/>
        <w:spacing w:line="560" w:lineRule="exact"/>
        <w:ind w:firstLine="633" w:firstLineChars="198"/>
        <w:jc w:val="left"/>
        <w:textAlignment w:val="auto"/>
        <w:rPr>
          <w:rFonts w:hint="eastAsia" w:ascii="仿宋_GB2312" w:hAnsi="仿宋" w:eastAsia="仿宋_GB2312"/>
          <w:sz w:val="32"/>
          <w:szCs w:val="32"/>
        </w:rPr>
      </w:pPr>
      <w:r>
        <w:rPr>
          <w:rFonts w:hint="eastAsia" w:ascii="仿宋_GB2312" w:hAnsi="仿宋" w:eastAsia="仿宋_GB2312"/>
          <w:sz w:val="32"/>
          <w:szCs w:val="32"/>
        </w:rPr>
        <w:t>化肥储备工作对公司盈利能力</w:t>
      </w:r>
      <w:r>
        <w:rPr>
          <w:rFonts w:hint="eastAsia" w:ascii="仿宋_GB2312" w:hAnsi="仿宋" w:eastAsia="仿宋_GB2312"/>
          <w:sz w:val="32"/>
          <w:szCs w:val="32"/>
          <w:lang w:val="en-US" w:eastAsia="zh-CN"/>
        </w:rPr>
        <w:t>的</w:t>
      </w:r>
      <w:r>
        <w:rPr>
          <w:rFonts w:hint="eastAsia" w:ascii="仿宋_GB2312" w:hAnsi="仿宋" w:eastAsia="仿宋_GB2312"/>
          <w:sz w:val="32"/>
          <w:szCs w:val="32"/>
        </w:rPr>
        <w:t>提升</w:t>
      </w:r>
      <w:r>
        <w:rPr>
          <w:rFonts w:hint="eastAsia" w:ascii="仿宋_GB2312" w:hAnsi="仿宋" w:eastAsia="仿宋_GB2312"/>
          <w:sz w:val="32"/>
          <w:szCs w:val="32"/>
          <w:lang w:val="en-US" w:eastAsia="zh-CN"/>
        </w:rPr>
        <w:t>效果</w:t>
      </w:r>
      <w:r>
        <w:rPr>
          <w:rFonts w:hint="eastAsia" w:ascii="仿宋_GB2312" w:hAnsi="仿宋" w:eastAsia="仿宋_GB2312"/>
          <w:sz w:val="32"/>
          <w:szCs w:val="32"/>
        </w:rPr>
        <w:t>存在一定的差距，有机紧密结合需要不断加强。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hAnsi="宋体" w:eastAsia="黑体"/>
          <w:sz w:val="32"/>
          <w:szCs w:val="32"/>
        </w:rPr>
      </w:pPr>
      <w:r>
        <w:rPr>
          <w:rFonts w:hint="eastAsia" w:ascii="黑体" w:hAnsi="宋体" w:eastAsia="黑体"/>
          <w:sz w:val="32"/>
          <w:szCs w:val="32"/>
          <w:lang w:val="en-US" w:eastAsia="zh-CN"/>
        </w:rPr>
        <w:t>六、</w:t>
      </w:r>
      <w:r>
        <w:rPr>
          <w:rFonts w:hint="eastAsia" w:ascii="黑体" w:hAnsi="宋体" w:eastAsia="黑体"/>
          <w:sz w:val="32"/>
          <w:szCs w:val="32"/>
        </w:rPr>
        <w:t>下一步工作安排</w:t>
      </w:r>
    </w:p>
    <w:p>
      <w:pPr>
        <w:keepNext w:val="0"/>
        <w:keepLines w:val="0"/>
        <w:pageBreakBefore w:val="0"/>
        <w:widowControl/>
        <w:kinsoku/>
        <w:wordWrap/>
        <w:overflowPunct/>
        <w:topLinePunct w:val="0"/>
        <w:autoSpaceDE/>
        <w:autoSpaceDN/>
        <w:bidi w:val="0"/>
        <w:adjustRightInd w:val="0"/>
        <w:snapToGrid w:val="0"/>
        <w:spacing w:line="560" w:lineRule="exact"/>
        <w:ind w:firstLine="633" w:firstLineChars="198"/>
        <w:jc w:val="left"/>
        <w:textAlignment w:val="auto"/>
        <w:rPr>
          <w:rFonts w:hint="eastAsia" w:ascii="仿宋_GB2312" w:hAnsi="仿宋" w:eastAsia="仿宋_GB2312"/>
          <w:sz w:val="32"/>
          <w:szCs w:val="32"/>
        </w:rPr>
      </w:pPr>
      <w:r>
        <w:rPr>
          <w:rFonts w:hint="eastAsia" w:ascii="仿宋_GB2312" w:hAnsi="仿宋" w:eastAsia="仿宋_GB2312"/>
          <w:sz w:val="32"/>
          <w:szCs w:val="32"/>
        </w:rPr>
        <w:t>邦力达公司将优化配置“人、财、物”的优势资源，充分研判市场行情，做好采购、发运和销售各环节工作，做深、做细、做实终端网络市场，既圆满完成省级储备任务，又提升资产的运行效率，完成公司年度各项经济指标，确保股东价值最大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黑体" w:hAnsi="宋体" w:eastAsia="黑体"/>
          <w:sz w:val="32"/>
          <w:szCs w:val="32"/>
        </w:rPr>
      </w:pPr>
      <w:r>
        <w:rPr>
          <w:rFonts w:hint="eastAsia" w:ascii="黑体" w:hAnsi="宋体" w:eastAsia="黑体"/>
          <w:sz w:val="32"/>
          <w:szCs w:val="32"/>
          <w:lang w:val="en-US" w:eastAsia="zh-CN"/>
        </w:rPr>
        <w:t>七</w:t>
      </w:r>
      <w:r>
        <w:rPr>
          <w:rFonts w:hint="eastAsia" w:ascii="黑体" w:hAnsi="宋体" w:eastAsia="黑体"/>
          <w:sz w:val="32"/>
          <w:szCs w:val="32"/>
        </w:rPr>
        <w:t>、相关措施建议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综合来看，我省省级化肥储备主要存在以下几方面问题：一是随着新农业的崛起，农业产业化正成为现代农业加速发展的重要推动因素，并逐渐成为现代农业生产经营服务的主体，农业市场需求正在发生巨大变化，化肥行业正经历巨大变革。储备随着宏观市场的变化，在价格波动较大且整体大幅上涨的情况下，企业承担的风险越来越大。建议不断完善化肥淡储方案，操作更加到位、合理；保证承储企业的稳定性，保证化肥淡储稳定有序进行。二是与国家层面的“化肥淡季商业储备”、“钾肥国家储备”及其它省份的省级储备相比，省储相关补贴标准及额度一直未作调整，资金投放较少，每年给予承储企业的补贴金额远远低于企业的实际成本支出，特别是在当前整体物价水平上涨，仓储、人工等综合费用增幅巨大的情况下。建议依据省级化肥储备标的量30万吨，按10元/吨的营运费用补贴公司。</w:t>
      </w:r>
    </w:p>
    <w:p>
      <w:pPr>
        <w:pStyle w:val="2"/>
        <w:rPr>
          <w:rFonts w:hint="eastAsia" w:ascii="仿宋_GB2312" w:hAnsi="仿宋" w:eastAsia="仿宋_GB2312"/>
          <w:sz w:val="32"/>
          <w:szCs w:val="32"/>
        </w:rPr>
      </w:pPr>
    </w:p>
    <w:p>
      <w:pPr>
        <w:pStyle w:val="2"/>
        <w:rPr>
          <w:rFonts w:hint="eastAsia" w:ascii="仿宋_GB2312" w:hAnsi="仿宋" w:eastAsia="仿宋_GB2312"/>
          <w:sz w:val="32"/>
          <w:szCs w:val="32"/>
        </w:rPr>
      </w:pPr>
    </w:p>
    <w:p>
      <w:pPr>
        <w:pStyle w:val="2"/>
        <w:rPr>
          <w:rFonts w:hint="eastAsia" w:ascii="仿宋_GB2312" w:hAnsi="仿宋" w:eastAsia="仿宋_GB2312"/>
          <w:sz w:val="32"/>
          <w:szCs w:val="32"/>
        </w:rPr>
      </w:pPr>
    </w:p>
    <w:p>
      <w:pPr>
        <w:pStyle w:val="2"/>
        <w:rPr>
          <w:rFonts w:hint="eastAsia" w:ascii="仿宋_GB2312" w:hAnsi="仿宋" w:eastAsia="仿宋_GB2312"/>
          <w:sz w:val="32"/>
          <w:szCs w:val="32"/>
        </w:rPr>
      </w:pPr>
    </w:p>
    <w:p>
      <w:pPr>
        <w:tabs>
          <w:tab w:val="left" w:pos="3885"/>
        </w:tabs>
        <w:snapToGrid w:val="0"/>
        <w:spacing w:line="600" w:lineRule="exact"/>
        <w:jc w:val="center"/>
        <w:rPr>
          <w:rFonts w:hint="eastAsia" w:ascii="方正小标宋简体" w:hAnsi="宋体" w:eastAsia="方正小标宋简体"/>
          <w:color w:val="auto"/>
          <w:sz w:val="44"/>
          <w:szCs w:val="44"/>
          <w:highlight w:val="none"/>
          <w:lang w:val="en-US" w:eastAsia="zh-CN"/>
        </w:rPr>
      </w:pPr>
      <w:r>
        <w:rPr>
          <w:rFonts w:hint="eastAsia" w:ascii="方正小标宋简体" w:hAnsi="宋体" w:eastAsia="方正小标宋简体"/>
          <w:color w:val="auto"/>
          <w:sz w:val="44"/>
          <w:szCs w:val="44"/>
          <w:highlight w:val="none"/>
          <w:lang w:val="en-US" w:eastAsia="zh-CN"/>
        </w:rPr>
        <w:t>2020年部门预算项目支出绩效自评报告</w:t>
      </w:r>
    </w:p>
    <w:p>
      <w:pPr>
        <w:keepNext w:val="0"/>
        <w:keepLines w:val="0"/>
        <w:pageBreakBefore w:val="0"/>
        <w:widowControl w:val="0"/>
        <w:tabs>
          <w:tab w:val="left" w:pos="3885"/>
        </w:tabs>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（四川省</w:t>
      </w:r>
      <w:r>
        <w:rPr>
          <w:rFonts w:hint="eastAsia" w:ascii="仿宋_GB2312" w:hAnsi="仿宋_GB2312" w:eastAsia="仿宋_GB2312" w:cs="仿宋_GB2312"/>
          <w:sz w:val="32"/>
          <w:szCs w:val="32"/>
          <w:lang w:val="en-US" w:eastAsia="zh-CN"/>
        </w:rPr>
        <w:t>商贸学校</w:t>
      </w:r>
      <w:r>
        <w:rPr>
          <w:rFonts w:hint="eastAsia" w:ascii="仿宋_GB2312" w:hAnsi="仿宋_GB2312" w:eastAsia="仿宋_GB2312" w:cs="仿宋_GB2312"/>
          <w:sz w:val="32"/>
          <w:szCs w:val="32"/>
        </w:rPr>
        <w:t>农村电子商务“产学研”基地项目）</w:t>
      </w:r>
    </w:p>
    <w:p>
      <w:pPr>
        <w:keepNext w:val="0"/>
        <w:keepLines w:val="0"/>
        <w:pageBreakBefore w:val="0"/>
        <w:widowControl w:val="0"/>
        <w:tabs>
          <w:tab w:val="left" w:pos="3885"/>
        </w:tabs>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b/>
          <w:sz w:val="32"/>
          <w:szCs w:val="32"/>
        </w:rPr>
      </w:pPr>
    </w:p>
    <w:p>
      <w:pPr>
        <w:keepNext w:val="0"/>
        <w:keepLines w:val="0"/>
        <w:pageBreakBefore w:val="0"/>
        <w:widowControl w:val="0"/>
        <w:tabs>
          <w:tab w:val="left" w:pos="3885"/>
        </w:tabs>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一、基本情况</w:t>
      </w:r>
    </w:p>
    <w:p>
      <w:pPr>
        <w:keepNext w:val="0"/>
        <w:keepLines w:val="0"/>
        <w:pageBreakBefore w:val="0"/>
        <w:widowControl w:val="0"/>
        <w:tabs>
          <w:tab w:val="left" w:pos="3885"/>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省商贸学校农村电子商务“产学研”基地，项目主要建设内容为农村电子商务产教融合实训大楼，总建筑面积10116.47平方米，建筑基底面积1719.32平方米，建筑地上6层，主要由教室、办公室、学术报告厅及展览空间组成，建筑底层主体中间设架空层。</w:t>
      </w:r>
    </w:p>
    <w:p>
      <w:pPr>
        <w:keepNext w:val="0"/>
        <w:keepLines w:val="0"/>
        <w:pageBreakBefore w:val="0"/>
        <w:widowControl w:val="0"/>
        <w:tabs>
          <w:tab w:val="left" w:pos="3885"/>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本项目于2020年4月22日获批施工许可，2020年4月27日破土动工。目前，施工尚在持续进行，项目已通过主体工程验收，正在施工装饰装修工程，预计2021年8月竣工。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2018年9月20日，中央预算内投资2000万元落实到位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2020年实际安排使用中央资金1362.56万元，自筹资金16.28万元。</w:t>
      </w:r>
    </w:p>
    <w:p>
      <w:pPr>
        <w:keepNext w:val="0"/>
        <w:keepLines w:val="0"/>
        <w:pageBreakBefore w:val="0"/>
        <w:widowControl w:val="0"/>
        <w:tabs>
          <w:tab w:val="left" w:pos="3885"/>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2020年已完成的目标任务是该项目主体工程，达到主体工程验收合格率100%的质量指标，目前已通过主体工程验收。项目建成后，预计可实现服务全校2500余名师生、农村电子商务产教融合服务社会覆盖面60%的社会效益，满足学校可持续发展要求，师生综合满意度85%以上</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二、评价工作开展情况</w:t>
      </w:r>
    </w:p>
    <w:p>
      <w:pPr>
        <w:keepNext w:val="0"/>
        <w:keepLines w:val="0"/>
        <w:pageBreakBefore w:val="0"/>
        <w:widowControl w:val="0"/>
        <w:tabs>
          <w:tab w:val="left" w:pos="3885"/>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我校组建了本项目绩效评价的领导小组和工作小组，建立了</w:t>
      </w:r>
      <w:r>
        <w:rPr>
          <w:rFonts w:hint="eastAsia" w:ascii="仿宋_GB2312" w:hAnsi="仿宋_GB2312" w:eastAsia="仿宋_GB2312" w:cs="仿宋_GB2312"/>
          <w:color w:val="000000"/>
          <w:sz w:val="32"/>
          <w:szCs w:val="32"/>
        </w:rPr>
        <w:t>全面规范透明、标准科学、约束有力的预算制度，全面实施绩效管理。初步建立了比较全面规范的绩效指标体系，包括预算资金执行情况、总体目标完成情况、产出指标、效益指标、满意度指标等。将绩效目标随同预算批复和下达，强化资金使用的主体责任和效率意识。及时跟踪查找薄弱环节，及时堵塞管理“漏洞”，纠正执行偏差。项目执行期间，每季度对该项目全面开展绩效自评。</w:t>
      </w:r>
    </w:p>
    <w:p>
      <w:pPr>
        <w:keepNext w:val="0"/>
        <w:keepLines w:val="0"/>
        <w:pageBreakBefore w:val="0"/>
        <w:widowControl w:val="0"/>
        <w:tabs>
          <w:tab w:val="left" w:pos="3885"/>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同时，不断强化绩效评价结果反馈及应用，督促项目监管部门进行整改，并推动将部分绩效评价结果应用于预算安排和政策调整。通过组织培训、召开专题会议、现场调研、微信群等多种方式，加强动员部署和培训指导，第一时间按照上级部门要求将项目资金绩效目标录入监控平台，对本项目资金预算实施全过程绩效管理。</w:t>
      </w:r>
    </w:p>
    <w:p>
      <w:pPr>
        <w:snapToGrid w:val="0"/>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三、综合评价结论（附评分表）</w:t>
      </w:r>
    </w:p>
    <w:tbl>
      <w:tblPr>
        <w:tblStyle w:val="14"/>
        <w:tblW w:w="8820" w:type="dxa"/>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392"/>
        <w:gridCol w:w="1776"/>
        <w:gridCol w:w="828"/>
        <w:gridCol w:w="984"/>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296" w:type="dxa"/>
            <w:vAlign w:val="center"/>
          </w:tcPr>
          <w:p>
            <w:pPr>
              <w:widowControl/>
              <w:snapToGrid w:val="0"/>
              <w:spacing w:line="640" w:lineRule="exact"/>
              <w:jc w:val="center"/>
              <w:rPr>
                <w:rFonts w:eastAsia="宋体"/>
                <w:b/>
                <w:kern w:val="0"/>
                <w:sz w:val="24"/>
                <w:szCs w:val="24"/>
              </w:rPr>
            </w:pPr>
            <w:r>
              <w:rPr>
                <w:rFonts w:eastAsia="宋体"/>
                <w:b/>
                <w:kern w:val="0"/>
                <w:sz w:val="24"/>
                <w:szCs w:val="24"/>
              </w:rPr>
              <w:t>一级指标</w:t>
            </w:r>
          </w:p>
        </w:tc>
        <w:tc>
          <w:tcPr>
            <w:tcW w:w="1392" w:type="dxa"/>
            <w:vAlign w:val="center"/>
          </w:tcPr>
          <w:p>
            <w:pPr>
              <w:widowControl/>
              <w:snapToGrid w:val="0"/>
              <w:spacing w:line="640" w:lineRule="exact"/>
              <w:jc w:val="center"/>
              <w:rPr>
                <w:rFonts w:eastAsia="宋体"/>
                <w:b/>
                <w:bCs/>
                <w:kern w:val="0"/>
                <w:sz w:val="24"/>
                <w:szCs w:val="24"/>
              </w:rPr>
            </w:pPr>
            <w:r>
              <w:rPr>
                <w:rFonts w:eastAsia="宋体"/>
                <w:b/>
                <w:bCs/>
                <w:kern w:val="0"/>
                <w:sz w:val="24"/>
                <w:szCs w:val="24"/>
              </w:rPr>
              <w:t>二级指标</w:t>
            </w:r>
          </w:p>
        </w:tc>
        <w:tc>
          <w:tcPr>
            <w:tcW w:w="1776" w:type="dxa"/>
            <w:vAlign w:val="center"/>
          </w:tcPr>
          <w:p>
            <w:pPr>
              <w:widowControl/>
              <w:snapToGrid w:val="0"/>
              <w:spacing w:line="640" w:lineRule="exact"/>
              <w:jc w:val="center"/>
              <w:rPr>
                <w:rFonts w:eastAsia="宋体"/>
                <w:b/>
                <w:bCs/>
                <w:kern w:val="0"/>
                <w:sz w:val="24"/>
                <w:szCs w:val="24"/>
              </w:rPr>
            </w:pPr>
            <w:r>
              <w:rPr>
                <w:rFonts w:eastAsia="宋体"/>
                <w:b/>
                <w:bCs/>
                <w:kern w:val="0"/>
                <w:sz w:val="24"/>
                <w:szCs w:val="24"/>
              </w:rPr>
              <w:t>三级指标</w:t>
            </w:r>
          </w:p>
        </w:tc>
        <w:tc>
          <w:tcPr>
            <w:tcW w:w="828" w:type="dxa"/>
            <w:vAlign w:val="center"/>
          </w:tcPr>
          <w:p>
            <w:pPr>
              <w:widowControl/>
              <w:snapToGrid w:val="0"/>
              <w:spacing w:line="640" w:lineRule="exact"/>
              <w:jc w:val="center"/>
              <w:rPr>
                <w:rFonts w:eastAsia="宋体"/>
                <w:b/>
                <w:bCs/>
                <w:kern w:val="0"/>
                <w:sz w:val="24"/>
                <w:szCs w:val="24"/>
              </w:rPr>
            </w:pPr>
            <w:r>
              <w:rPr>
                <w:rFonts w:eastAsia="宋体"/>
                <w:b/>
                <w:bCs/>
                <w:kern w:val="0"/>
                <w:sz w:val="24"/>
                <w:szCs w:val="24"/>
              </w:rPr>
              <w:t>分值</w:t>
            </w:r>
          </w:p>
        </w:tc>
        <w:tc>
          <w:tcPr>
            <w:tcW w:w="984" w:type="dxa"/>
            <w:vAlign w:val="center"/>
          </w:tcPr>
          <w:p>
            <w:pPr>
              <w:widowControl/>
              <w:snapToGrid w:val="0"/>
              <w:spacing w:line="640" w:lineRule="exact"/>
              <w:jc w:val="center"/>
              <w:rPr>
                <w:rFonts w:eastAsia="宋体"/>
                <w:b/>
                <w:bCs/>
                <w:kern w:val="0"/>
                <w:sz w:val="24"/>
                <w:szCs w:val="24"/>
              </w:rPr>
            </w:pPr>
            <w:r>
              <w:rPr>
                <w:rFonts w:eastAsia="宋体"/>
                <w:b/>
                <w:bCs/>
                <w:kern w:val="0"/>
                <w:sz w:val="24"/>
                <w:szCs w:val="24"/>
              </w:rPr>
              <w:t>得分</w:t>
            </w:r>
          </w:p>
        </w:tc>
        <w:tc>
          <w:tcPr>
            <w:tcW w:w="2544" w:type="dxa"/>
            <w:vAlign w:val="center"/>
          </w:tcPr>
          <w:p>
            <w:pPr>
              <w:widowControl/>
              <w:snapToGrid w:val="0"/>
              <w:spacing w:line="640" w:lineRule="exact"/>
              <w:jc w:val="center"/>
              <w:rPr>
                <w:rFonts w:eastAsia="宋体"/>
                <w:b/>
                <w:bCs/>
                <w:kern w:val="0"/>
                <w:sz w:val="24"/>
                <w:szCs w:val="24"/>
              </w:rPr>
            </w:pPr>
            <w:r>
              <w:rPr>
                <w:rFonts w:hint="eastAsia" w:eastAsia="宋体"/>
                <w:b/>
                <w:bCs/>
                <w:kern w:val="0"/>
                <w:sz w:val="24"/>
                <w:szCs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96" w:type="dxa"/>
            <w:vMerge w:val="restart"/>
            <w:vAlign w:val="center"/>
          </w:tcPr>
          <w:p>
            <w:pPr>
              <w:widowControl/>
              <w:snapToGrid w:val="0"/>
              <w:spacing w:line="640" w:lineRule="exact"/>
              <w:jc w:val="center"/>
              <w:rPr>
                <w:rFonts w:eastAsia="宋体"/>
                <w:kern w:val="0"/>
                <w:sz w:val="21"/>
                <w:szCs w:val="21"/>
              </w:rPr>
            </w:pPr>
            <w:r>
              <w:rPr>
                <w:rFonts w:hint="eastAsia" w:eastAsia="宋体"/>
                <w:kern w:val="0"/>
                <w:sz w:val="21"/>
                <w:szCs w:val="21"/>
              </w:rPr>
              <w:t>通用指标（30/30分）</w:t>
            </w:r>
          </w:p>
        </w:tc>
        <w:tc>
          <w:tcPr>
            <w:tcW w:w="1392" w:type="dxa"/>
            <w:vMerge w:val="restart"/>
            <w:vAlign w:val="center"/>
          </w:tcPr>
          <w:p>
            <w:pPr>
              <w:widowControl/>
              <w:snapToGrid w:val="0"/>
              <w:spacing w:line="640" w:lineRule="exact"/>
              <w:jc w:val="center"/>
              <w:rPr>
                <w:rFonts w:eastAsia="宋体"/>
                <w:b/>
                <w:bCs/>
                <w:kern w:val="0"/>
                <w:sz w:val="21"/>
                <w:szCs w:val="21"/>
              </w:rPr>
            </w:pPr>
            <w:r>
              <w:rPr>
                <w:rFonts w:hint="eastAsia" w:eastAsia="宋体"/>
                <w:kern w:val="0"/>
                <w:sz w:val="21"/>
                <w:szCs w:val="21"/>
              </w:rPr>
              <w:t>项目决策（8/8分）</w:t>
            </w:r>
          </w:p>
        </w:tc>
        <w:tc>
          <w:tcPr>
            <w:tcW w:w="1776" w:type="dxa"/>
            <w:vAlign w:val="center"/>
          </w:tcPr>
          <w:p>
            <w:pPr>
              <w:widowControl/>
              <w:snapToGrid w:val="0"/>
              <w:spacing w:line="640" w:lineRule="exact"/>
              <w:jc w:val="center"/>
              <w:rPr>
                <w:rFonts w:eastAsia="宋体"/>
                <w:kern w:val="0"/>
                <w:sz w:val="21"/>
                <w:szCs w:val="21"/>
              </w:rPr>
            </w:pPr>
            <w:r>
              <w:rPr>
                <w:rFonts w:hint="eastAsia" w:eastAsia="宋体"/>
                <w:kern w:val="0"/>
                <w:sz w:val="21"/>
                <w:szCs w:val="21"/>
              </w:rPr>
              <w:t>程序严密</w:t>
            </w:r>
          </w:p>
        </w:tc>
        <w:tc>
          <w:tcPr>
            <w:tcW w:w="828" w:type="dxa"/>
            <w:vAlign w:val="center"/>
          </w:tcPr>
          <w:p>
            <w:pPr>
              <w:widowControl/>
              <w:snapToGrid w:val="0"/>
              <w:spacing w:line="640" w:lineRule="exact"/>
              <w:jc w:val="center"/>
              <w:rPr>
                <w:rFonts w:eastAsia="宋体"/>
                <w:kern w:val="0"/>
                <w:sz w:val="21"/>
                <w:szCs w:val="21"/>
              </w:rPr>
            </w:pPr>
            <w:r>
              <w:rPr>
                <w:rFonts w:hint="eastAsia" w:eastAsia="宋体"/>
                <w:kern w:val="0"/>
                <w:sz w:val="21"/>
                <w:szCs w:val="21"/>
              </w:rPr>
              <w:t>4</w:t>
            </w:r>
          </w:p>
        </w:tc>
        <w:tc>
          <w:tcPr>
            <w:tcW w:w="984" w:type="dxa"/>
            <w:vAlign w:val="center"/>
          </w:tcPr>
          <w:p>
            <w:pPr>
              <w:widowControl/>
              <w:spacing w:line="640" w:lineRule="exact"/>
              <w:jc w:val="center"/>
              <w:rPr>
                <w:rFonts w:eastAsia="宋体"/>
                <w:kern w:val="0"/>
                <w:sz w:val="21"/>
                <w:szCs w:val="21"/>
              </w:rPr>
            </w:pPr>
            <w:r>
              <w:rPr>
                <w:rFonts w:hint="eastAsia" w:eastAsia="宋体"/>
                <w:kern w:val="0"/>
                <w:sz w:val="21"/>
                <w:szCs w:val="21"/>
              </w:rPr>
              <w:t>4</w:t>
            </w:r>
          </w:p>
        </w:tc>
        <w:tc>
          <w:tcPr>
            <w:tcW w:w="2544" w:type="dxa"/>
            <w:vAlign w:val="center"/>
          </w:tcPr>
          <w:p>
            <w:pPr>
              <w:widowControl/>
              <w:spacing w:line="640" w:lineRule="exact"/>
              <w:jc w:val="center"/>
              <w:rPr>
                <w:rFonts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296" w:type="dxa"/>
            <w:vMerge w:val="continue"/>
            <w:vAlign w:val="center"/>
          </w:tcPr>
          <w:p>
            <w:pPr>
              <w:widowControl/>
              <w:snapToGrid w:val="0"/>
              <w:spacing w:line="640" w:lineRule="exact"/>
              <w:jc w:val="left"/>
              <w:rPr>
                <w:rFonts w:eastAsia="宋体"/>
                <w:kern w:val="0"/>
                <w:sz w:val="21"/>
                <w:szCs w:val="21"/>
              </w:rPr>
            </w:pPr>
          </w:p>
        </w:tc>
        <w:tc>
          <w:tcPr>
            <w:tcW w:w="1392" w:type="dxa"/>
            <w:vMerge w:val="continue"/>
            <w:vAlign w:val="center"/>
          </w:tcPr>
          <w:p>
            <w:pPr>
              <w:widowControl/>
              <w:snapToGrid w:val="0"/>
              <w:spacing w:line="640" w:lineRule="exact"/>
              <w:jc w:val="left"/>
              <w:rPr>
                <w:rFonts w:eastAsia="宋体"/>
                <w:b/>
                <w:bCs/>
                <w:kern w:val="0"/>
                <w:sz w:val="21"/>
                <w:szCs w:val="21"/>
              </w:rPr>
            </w:pPr>
          </w:p>
        </w:tc>
        <w:tc>
          <w:tcPr>
            <w:tcW w:w="1776" w:type="dxa"/>
            <w:vAlign w:val="center"/>
          </w:tcPr>
          <w:p>
            <w:pPr>
              <w:widowControl/>
              <w:snapToGrid w:val="0"/>
              <w:spacing w:line="640" w:lineRule="exact"/>
              <w:jc w:val="center"/>
              <w:rPr>
                <w:rFonts w:eastAsia="宋体"/>
                <w:kern w:val="0"/>
                <w:sz w:val="21"/>
                <w:szCs w:val="21"/>
              </w:rPr>
            </w:pPr>
            <w:r>
              <w:rPr>
                <w:rFonts w:hint="eastAsia" w:eastAsia="宋体"/>
                <w:kern w:val="0"/>
                <w:sz w:val="21"/>
                <w:szCs w:val="21"/>
              </w:rPr>
              <w:t>规划合理</w:t>
            </w:r>
          </w:p>
        </w:tc>
        <w:tc>
          <w:tcPr>
            <w:tcW w:w="828" w:type="dxa"/>
            <w:vAlign w:val="center"/>
          </w:tcPr>
          <w:p>
            <w:pPr>
              <w:widowControl/>
              <w:snapToGrid w:val="0"/>
              <w:spacing w:line="640" w:lineRule="exact"/>
              <w:jc w:val="center"/>
              <w:rPr>
                <w:rFonts w:eastAsia="宋体"/>
                <w:kern w:val="0"/>
                <w:sz w:val="21"/>
                <w:szCs w:val="21"/>
              </w:rPr>
            </w:pPr>
            <w:r>
              <w:rPr>
                <w:rFonts w:hint="eastAsia" w:eastAsia="宋体"/>
                <w:kern w:val="0"/>
                <w:sz w:val="21"/>
                <w:szCs w:val="21"/>
              </w:rPr>
              <w:t>4</w:t>
            </w:r>
          </w:p>
        </w:tc>
        <w:tc>
          <w:tcPr>
            <w:tcW w:w="984" w:type="dxa"/>
            <w:vAlign w:val="center"/>
          </w:tcPr>
          <w:p>
            <w:pPr>
              <w:widowControl/>
              <w:spacing w:line="640" w:lineRule="exact"/>
              <w:jc w:val="center"/>
              <w:rPr>
                <w:rFonts w:eastAsia="宋体"/>
                <w:kern w:val="0"/>
                <w:sz w:val="21"/>
                <w:szCs w:val="21"/>
              </w:rPr>
            </w:pPr>
            <w:r>
              <w:rPr>
                <w:rFonts w:hint="eastAsia" w:eastAsia="宋体"/>
                <w:kern w:val="0"/>
                <w:sz w:val="21"/>
                <w:szCs w:val="21"/>
              </w:rPr>
              <w:t>4</w:t>
            </w:r>
          </w:p>
        </w:tc>
        <w:tc>
          <w:tcPr>
            <w:tcW w:w="2544" w:type="dxa"/>
            <w:vAlign w:val="center"/>
          </w:tcPr>
          <w:p>
            <w:pPr>
              <w:widowControl/>
              <w:spacing w:line="640" w:lineRule="exact"/>
              <w:jc w:val="center"/>
              <w:rPr>
                <w:rFonts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tcPr>
          <w:p>
            <w:pPr>
              <w:snapToGrid w:val="0"/>
              <w:spacing w:line="640" w:lineRule="exact"/>
              <w:rPr>
                <w:rFonts w:eastAsia="宋体"/>
                <w:kern w:val="0"/>
                <w:sz w:val="21"/>
                <w:szCs w:val="21"/>
              </w:rPr>
            </w:pPr>
          </w:p>
        </w:tc>
        <w:tc>
          <w:tcPr>
            <w:tcW w:w="1392" w:type="dxa"/>
            <w:vMerge w:val="restart"/>
            <w:vAlign w:val="center"/>
          </w:tcPr>
          <w:p>
            <w:pPr>
              <w:snapToGrid w:val="0"/>
              <w:spacing w:line="640" w:lineRule="exact"/>
              <w:jc w:val="center"/>
              <w:rPr>
                <w:rFonts w:eastAsia="宋体"/>
                <w:kern w:val="0"/>
                <w:sz w:val="21"/>
                <w:szCs w:val="21"/>
              </w:rPr>
            </w:pPr>
            <w:r>
              <w:rPr>
                <w:rFonts w:hint="eastAsia" w:eastAsia="宋体"/>
                <w:kern w:val="0"/>
                <w:sz w:val="21"/>
                <w:szCs w:val="21"/>
              </w:rPr>
              <w:t>项目实施（12/12分）</w:t>
            </w:r>
          </w:p>
        </w:tc>
        <w:tc>
          <w:tcPr>
            <w:tcW w:w="1776" w:type="dxa"/>
            <w:vAlign w:val="center"/>
          </w:tcPr>
          <w:p>
            <w:pPr>
              <w:widowControl/>
              <w:snapToGrid w:val="0"/>
              <w:spacing w:line="640" w:lineRule="exact"/>
              <w:jc w:val="center"/>
              <w:rPr>
                <w:rFonts w:eastAsia="宋体"/>
                <w:kern w:val="0"/>
                <w:sz w:val="21"/>
                <w:szCs w:val="21"/>
              </w:rPr>
            </w:pPr>
            <w:r>
              <w:rPr>
                <w:rFonts w:hint="eastAsia" w:eastAsia="宋体"/>
                <w:kern w:val="0"/>
                <w:sz w:val="21"/>
                <w:szCs w:val="21"/>
              </w:rPr>
              <w:t>分配合理</w:t>
            </w:r>
          </w:p>
        </w:tc>
        <w:tc>
          <w:tcPr>
            <w:tcW w:w="828" w:type="dxa"/>
            <w:vAlign w:val="center"/>
          </w:tcPr>
          <w:p>
            <w:pPr>
              <w:widowControl/>
              <w:snapToGrid w:val="0"/>
              <w:spacing w:line="640" w:lineRule="exact"/>
              <w:jc w:val="center"/>
              <w:rPr>
                <w:rFonts w:eastAsia="宋体"/>
                <w:kern w:val="0"/>
                <w:sz w:val="21"/>
                <w:szCs w:val="21"/>
              </w:rPr>
            </w:pPr>
            <w:r>
              <w:rPr>
                <w:rFonts w:hint="eastAsia" w:eastAsia="宋体"/>
                <w:kern w:val="0"/>
                <w:sz w:val="21"/>
                <w:szCs w:val="21"/>
              </w:rPr>
              <w:t>4</w:t>
            </w:r>
          </w:p>
        </w:tc>
        <w:tc>
          <w:tcPr>
            <w:tcW w:w="984" w:type="dxa"/>
            <w:vAlign w:val="center"/>
          </w:tcPr>
          <w:p>
            <w:pPr>
              <w:widowControl/>
              <w:spacing w:line="640" w:lineRule="exact"/>
              <w:jc w:val="center"/>
              <w:rPr>
                <w:rFonts w:eastAsia="宋体"/>
                <w:kern w:val="0"/>
                <w:sz w:val="21"/>
                <w:szCs w:val="21"/>
              </w:rPr>
            </w:pPr>
            <w:r>
              <w:rPr>
                <w:rFonts w:hint="eastAsia" w:eastAsia="宋体"/>
                <w:kern w:val="0"/>
                <w:sz w:val="21"/>
                <w:szCs w:val="21"/>
              </w:rPr>
              <w:t>4</w:t>
            </w:r>
          </w:p>
        </w:tc>
        <w:tc>
          <w:tcPr>
            <w:tcW w:w="2544" w:type="dxa"/>
            <w:vAlign w:val="center"/>
          </w:tcPr>
          <w:p>
            <w:pPr>
              <w:widowControl/>
              <w:spacing w:line="640" w:lineRule="exact"/>
              <w:jc w:val="center"/>
              <w:rPr>
                <w:rFonts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tcPr>
          <w:p>
            <w:pPr>
              <w:snapToGrid w:val="0"/>
              <w:spacing w:line="640" w:lineRule="exact"/>
              <w:rPr>
                <w:rFonts w:eastAsia="宋体"/>
                <w:kern w:val="0"/>
                <w:sz w:val="21"/>
                <w:szCs w:val="21"/>
              </w:rPr>
            </w:pPr>
          </w:p>
        </w:tc>
        <w:tc>
          <w:tcPr>
            <w:tcW w:w="1392" w:type="dxa"/>
            <w:vMerge w:val="continue"/>
          </w:tcPr>
          <w:p>
            <w:pPr>
              <w:snapToGrid w:val="0"/>
              <w:spacing w:line="640" w:lineRule="exact"/>
              <w:rPr>
                <w:rFonts w:eastAsia="宋体"/>
                <w:kern w:val="0"/>
                <w:sz w:val="21"/>
                <w:szCs w:val="21"/>
              </w:rPr>
            </w:pPr>
          </w:p>
        </w:tc>
        <w:tc>
          <w:tcPr>
            <w:tcW w:w="1776" w:type="dxa"/>
            <w:vAlign w:val="center"/>
          </w:tcPr>
          <w:p>
            <w:pPr>
              <w:widowControl/>
              <w:snapToGrid w:val="0"/>
              <w:spacing w:line="640" w:lineRule="exact"/>
              <w:jc w:val="center"/>
              <w:rPr>
                <w:rFonts w:eastAsia="宋体"/>
                <w:kern w:val="0"/>
                <w:sz w:val="21"/>
                <w:szCs w:val="21"/>
              </w:rPr>
            </w:pPr>
            <w:r>
              <w:rPr>
                <w:rFonts w:hint="eastAsia" w:eastAsia="宋体"/>
                <w:kern w:val="0"/>
                <w:sz w:val="21"/>
                <w:szCs w:val="21"/>
              </w:rPr>
              <w:t>使用合规</w:t>
            </w:r>
          </w:p>
        </w:tc>
        <w:tc>
          <w:tcPr>
            <w:tcW w:w="828" w:type="dxa"/>
            <w:vAlign w:val="center"/>
          </w:tcPr>
          <w:p>
            <w:pPr>
              <w:widowControl/>
              <w:snapToGrid w:val="0"/>
              <w:spacing w:line="640" w:lineRule="exact"/>
              <w:jc w:val="center"/>
              <w:rPr>
                <w:rFonts w:eastAsia="宋体"/>
                <w:kern w:val="0"/>
                <w:sz w:val="21"/>
                <w:szCs w:val="21"/>
              </w:rPr>
            </w:pPr>
            <w:r>
              <w:rPr>
                <w:rFonts w:hint="eastAsia" w:eastAsia="宋体"/>
                <w:kern w:val="0"/>
                <w:sz w:val="21"/>
                <w:szCs w:val="21"/>
              </w:rPr>
              <w:t>4</w:t>
            </w:r>
          </w:p>
        </w:tc>
        <w:tc>
          <w:tcPr>
            <w:tcW w:w="984" w:type="dxa"/>
            <w:vAlign w:val="center"/>
          </w:tcPr>
          <w:p>
            <w:pPr>
              <w:widowControl/>
              <w:spacing w:line="640" w:lineRule="exact"/>
              <w:jc w:val="center"/>
              <w:rPr>
                <w:rFonts w:eastAsia="宋体"/>
                <w:kern w:val="0"/>
                <w:sz w:val="21"/>
                <w:szCs w:val="21"/>
              </w:rPr>
            </w:pPr>
            <w:r>
              <w:rPr>
                <w:rFonts w:hint="eastAsia" w:eastAsia="宋体"/>
                <w:kern w:val="0"/>
                <w:sz w:val="21"/>
                <w:szCs w:val="21"/>
              </w:rPr>
              <w:t>4</w:t>
            </w:r>
          </w:p>
        </w:tc>
        <w:tc>
          <w:tcPr>
            <w:tcW w:w="2544" w:type="dxa"/>
            <w:vAlign w:val="center"/>
          </w:tcPr>
          <w:p>
            <w:pPr>
              <w:widowControl/>
              <w:spacing w:line="640" w:lineRule="exact"/>
              <w:jc w:val="center"/>
              <w:rPr>
                <w:rFonts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96" w:type="dxa"/>
            <w:vMerge w:val="continue"/>
          </w:tcPr>
          <w:p>
            <w:pPr>
              <w:snapToGrid w:val="0"/>
              <w:spacing w:line="640" w:lineRule="exact"/>
              <w:rPr>
                <w:rFonts w:eastAsia="宋体"/>
                <w:kern w:val="0"/>
                <w:sz w:val="21"/>
                <w:szCs w:val="21"/>
              </w:rPr>
            </w:pPr>
          </w:p>
        </w:tc>
        <w:tc>
          <w:tcPr>
            <w:tcW w:w="1392" w:type="dxa"/>
            <w:vMerge w:val="continue"/>
          </w:tcPr>
          <w:p>
            <w:pPr>
              <w:snapToGrid w:val="0"/>
              <w:spacing w:line="640" w:lineRule="exact"/>
              <w:rPr>
                <w:rFonts w:eastAsia="宋体"/>
                <w:kern w:val="0"/>
                <w:sz w:val="21"/>
                <w:szCs w:val="21"/>
              </w:rPr>
            </w:pPr>
          </w:p>
        </w:tc>
        <w:tc>
          <w:tcPr>
            <w:tcW w:w="1776" w:type="dxa"/>
            <w:vAlign w:val="center"/>
          </w:tcPr>
          <w:p>
            <w:pPr>
              <w:widowControl/>
              <w:snapToGrid w:val="0"/>
              <w:spacing w:line="640" w:lineRule="exact"/>
              <w:jc w:val="center"/>
              <w:rPr>
                <w:rFonts w:eastAsia="宋体"/>
                <w:kern w:val="0"/>
                <w:sz w:val="21"/>
                <w:szCs w:val="21"/>
              </w:rPr>
            </w:pPr>
            <w:r>
              <w:rPr>
                <w:rFonts w:hint="eastAsia" w:eastAsia="宋体"/>
                <w:kern w:val="0"/>
                <w:sz w:val="21"/>
                <w:szCs w:val="21"/>
              </w:rPr>
              <w:t>执行有效</w:t>
            </w:r>
          </w:p>
        </w:tc>
        <w:tc>
          <w:tcPr>
            <w:tcW w:w="828" w:type="dxa"/>
            <w:vAlign w:val="center"/>
          </w:tcPr>
          <w:p>
            <w:pPr>
              <w:widowControl/>
              <w:snapToGrid w:val="0"/>
              <w:spacing w:line="640" w:lineRule="exact"/>
              <w:jc w:val="center"/>
              <w:rPr>
                <w:rFonts w:eastAsia="宋体"/>
                <w:kern w:val="0"/>
                <w:sz w:val="21"/>
                <w:szCs w:val="21"/>
              </w:rPr>
            </w:pPr>
            <w:r>
              <w:rPr>
                <w:rFonts w:hint="eastAsia" w:eastAsia="宋体"/>
                <w:kern w:val="0"/>
                <w:sz w:val="21"/>
                <w:szCs w:val="21"/>
              </w:rPr>
              <w:t>4</w:t>
            </w:r>
          </w:p>
        </w:tc>
        <w:tc>
          <w:tcPr>
            <w:tcW w:w="984" w:type="dxa"/>
            <w:vAlign w:val="center"/>
          </w:tcPr>
          <w:p>
            <w:pPr>
              <w:widowControl/>
              <w:spacing w:line="640" w:lineRule="exact"/>
              <w:jc w:val="center"/>
              <w:rPr>
                <w:rFonts w:eastAsia="宋体"/>
                <w:kern w:val="0"/>
                <w:sz w:val="21"/>
                <w:szCs w:val="21"/>
              </w:rPr>
            </w:pPr>
            <w:r>
              <w:rPr>
                <w:rFonts w:hint="eastAsia" w:eastAsia="宋体"/>
                <w:kern w:val="0"/>
                <w:sz w:val="21"/>
                <w:szCs w:val="21"/>
              </w:rPr>
              <w:t>4</w:t>
            </w:r>
          </w:p>
        </w:tc>
        <w:tc>
          <w:tcPr>
            <w:tcW w:w="2544" w:type="dxa"/>
            <w:vAlign w:val="center"/>
          </w:tcPr>
          <w:p>
            <w:pPr>
              <w:widowControl/>
              <w:spacing w:line="640" w:lineRule="exact"/>
              <w:jc w:val="center"/>
              <w:rPr>
                <w:rFonts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tcPr>
          <w:p>
            <w:pPr>
              <w:snapToGrid w:val="0"/>
              <w:spacing w:line="640" w:lineRule="exact"/>
              <w:rPr>
                <w:rFonts w:eastAsia="宋体"/>
                <w:kern w:val="0"/>
                <w:sz w:val="21"/>
                <w:szCs w:val="21"/>
              </w:rPr>
            </w:pPr>
          </w:p>
        </w:tc>
        <w:tc>
          <w:tcPr>
            <w:tcW w:w="1392" w:type="dxa"/>
            <w:vMerge w:val="restart"/>
            <w:vAlign w:val="center"/>
          </w:tcPr>
          <w:p>
            <w:pPr>
              <w:snapToGrid w:val="0"/>
              <w:spacing w:line="640" w:lineRule="exact"/>
              <w:jc w:val="center"/>
              <w:rPr>
                <w:rFonts w:eastAsia="宋体"/>
                <w:kern w:val="0"/>
                <w:sz w:val="21"/>
                <w:szCs w:val="21"/>
              </w:rPr>
            </w:pPr>
            <w:r>
              <w:rPr>
                <w:rFonts w:hint="eastAsia" w:eastAsia="宋体"/>
                <w:kern w:val="0"/>
                <w:sz w:val="21"/>
                <w:szCs w:val="21"/>
              </w:rPr>
              <w:t>完成结果（10/10分）</w:t>
            </w:r>
          </w:p>
        </w:tc>
        <w:tc>
          <w:tcPr>
            <w:tcW w:w="1776" w:type="dxa"/>
            <w:vAlign w:val="center"/>
          </w:tcPr>
          <w:p>
            <w:pPr>
              <w:widowControl/>
              <w:snapToGrid w:val="0"/>
              <w:spacing w:line="640" w:lineRule="exact"/>
              <w:jc w:val="center"/>
              <w:rPr>
                <w:rFonts w:eastAsia="宋体"/>
                <w:kern w:val="0"/>
                <w:sz w:val="21"/>
                <w:szCs w:val="21"/>
              </w:rPr>
            </w:pPr>
            <w:r>
              <w:rPr>
                <w:rFonts w:hint="eastAsia" w:eastAsia="宋体"/>
                <w:kern w:val="0"/>
                <w:sz w:val="21"/>
                <w:szCs w:val="21"/>
              </w:rPr>
              <w:t>预算完成</w:t>
            </w:r>
          </w:p>
        </w:tc>
        <w:tc>
          <w:tcPr>
            <w:tcW w:w="828" w:type="dxa"/>
            <w:vAlign w:val="center"/>
          </w:tcPr>
          <w:p>
            <w:pPr>
              <w:widowControl/>
              <w:snapToGrid w:val="0"/>
              <w:spacing w:line="640" w:lineRule="exact"/>
              <w:jc w:val="center"/>
              <w:rPr>
                <w:rFonts w:eastAsia="宋体"/>
                <w:kern w:val="0"/>
                <w:sz w:val="21"/>
                <w:szCs w:val="21"/>
              </w:rPr>
            </w:pPr>
            <w:r>
              <w:rPr>
                <w:rFonts w:hint="eastAsia" w:eastAsia="宋体"/>
                <w:kern w:val="0"/>
                <w:sz w:val="21"/>
                <w:szCs w:val="21"/>
              </w:rPr>
              <w:t>4</w:t>
            </w:r>
          </w:p>
        </w:tc>
        <w:tc>
          <w:tcPr>
            <w:tcW w:w="984" w:type="dxa"/>
            <w:vAlign w:val="center"/>
          </w:tcPr>
          <w:p>
            <w:pPr>
              <w:widowControl/>
              <w:spacing w:line="640" w:lineRule="exact"/>
              <w:jc w:val="center"/>
              <w:rPr>
                <w:rFonts w:eastAsia="宋体"/>
                <w:kern w:val="0"/>
                <w:sz w:val="21"/>
                <w:szCs w:val="21"/>
              </w:rPr>
            </w:pPr>
            <w:r>
              <w:rPr>
                <w:rFonts w:hint="eastAsia" w:eastAsia="宋体"/>
                <w:kern w:val="0"/>
                <w:sz w:val="21"/>
                <w:szCs w:val="21"/>
              </w:rPr>
              <w:t>4</w:t>
            </w:r>
          </w:p>
        </w:tc>
        <w:tc>
          <w:tcPr>
            <w:tcW w:w="2544" w:type="dxa"/>
            <w:vAlign w:val="center"/>
          </w:tcPr>
          <w:p>
            <w:pPr>
              <w:widowControl/>
              <w:spacing w:line="640" w:lineRule="exact"/>
              <w:jc w:val="center"/>
              <w:rPr>
                <w:rFonts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tcPr>
          <w:p>
            <w:pPr>
              <w:snapToGrid w:val="0"/>
              <w:spacing w:line="640" w:lineRule="exact"/>
              <w:rPr>
                <w:rFonts w:eastAsia="宋体"/>
                <w:kern w:val="0"/>
                <w:sz w:val="21"/>
                <w:szCs w:val="21"/>
              </w:rPr>
            </w:pPr>
          </w:p>
        </w:tc>
        <w:tc>
          <w:tcPr>
            <w:tcW w:w="1392" w:type="dxa"/>
            <w:vMerge w:val="continue"/>
            <w:vAlign w:val="center"/>
          </w:tcPr>
          <w:p>
            <w:pPr>
              <w:snapToGrid w:val="0"/>
              <w:spacing w:line="640" w:lineRule="exact"/>
              <w:rPr>
                <w:rFonts w:eastAsia="宋体"/>
                <w:kern w:val="0"/>
                <w:sz w:val="21"/>
                <w:szCs w:val="21"/>
              </w:rPr>
            </w:pPr>
          </w:p>
        </w:tc>
        <w:tc>
          <w:tcPr>
            <w:tcW w:w="1776" w:type="dxa"/>
            <w:vAlign w:val="center"/>
          </w:tcPr>
          <w:p>
            <w:pPr>
              <w:widowControl/>
              <w:snapToGrid w:val="0"/>
              <w:spacing w:line="640" w:lineRule="exact"/>
              <w:jc w:val="center"/>
              <w:rPr>
                <w:rFonts w:eastAsia="宋体"/>
                <w:kern w:val="0"/>
                <w:sz w:val="21"/>
                <w:szCs w:val="21"/>
              </w:rPr>
            </w:pPr>
            <w:r>
              <w:rPr>
                <w:rFonts w:hint="eastAsia" w:eastAsia="宋体"/>
                <w:kern w:val="0"/>
                <w:sz w:val="21"/>
                <w:szCs w:val="21"/>
              </w:rPr>
              <w:t>目标完成</w:t>
            </w:r>
          </w:p>
        </w:tc>
        <w:tc>
          <w:tcPr>
            <w:tcW w:w="828" w:type="dxa"/>
            <w:vAlign w:val="center"/>
          </w:tcPr>
          <w:p>
            <w:pPr>
              <w:widowControl/>
              <w:snapToGrid w:val="0"/>
              <w:spacing w:line="640" w:lineRule="exact"/>
              <w:jc w:val="center"/>
              <w:rPr>
                <w:rFonts w:eastAsia="宋体"/>
                <w:kern w:val="0"/>
                <w:sz w:val="21"/>
                <w:szCs w:val="21"/>
              </w:rPr>
            </w:pPr>
            <w:r>
              <w:rPr>
                <w:rFonts w:hint="eastAsia" w:eastAsia="宋体"/>
                <w:kern w:val="0"/>
                <w:sz w:val="21"/>
                <w:szCs w:val="21"/>
              </w:rPr>
              <w:t>4</w:t>
            </w:r>
          </w:p>
        </w:tc>
        <w:tc>
          <w:tcPr>
            <w:tcW w:w="984" w:type="dxa"/>
            <w:vAlign w:val="center"/>
          </w:tcPr>
          <w:p>
            <w:pPr>
              <w:widowControl/>
              <w:spacing w:line="640" w:lineRule="exact"/>
              <w:jc w:val="center"/>
              <w:rPr>
                <w:rFonts w:eastAsia="宋体"/>
                <w:kern w:val="0"/>
                <w:sz w:val="21"/>
                <w:szCs w:val="21"/>
              </w:rPr>
            </w:pPr>
            <w:r>
              <w:rPr>
                <w:rFonts w:hint="eastAsia" w:eastAsia="宋体"/>
                <w:kern w:val="0"/>
                <w:sz w:val="21"/>
                <w:szCs w:val="21"/>
              </w:rPr>
              <w:t>2</w:t>
            </w:r>
          </w:p>
        </w:tc>
        <w:tc>
          <w:tcPr>
            <w:tcW w:w="2544" w:type="dxa"/>
            <w:vAlign w:val="center"/>
          </w:tcPr>
          <w:p>
            <w:pPr>
              <w:widowControl/>
              <w:spacing w:line="640" w:lineRule="exact"/>
              <w:jc w:val="center"/>
              <w:rPr>
                <w:rFonts w:eastAsia="宋体"/>
                <w:kern w:val="0"/>
                <w:sz w:val="21"/>
                <w:szCs w:val="21"/>
              </w:rPr>
            </w:pPr>
            <w:r>
              <w:rPr>
                <w:rFonts w:hint="eastAsia" w:eastAsia="宋体"/>
                <w:kern w:val="0"/>
                <w:sz w:val="21"/>
                <w:szCs w:val="21"/>
              </w:rPr>
              <w:t>项目尚未全部实施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tcPr>
          <w:p>
            <w:pPr>
              <w:snapToGrid w:val="0"/>
              <w:spacing w:line="640" w:lineRule="exact"/>
              <w:rPr>
                <w:rFonts w:eastAsia="宋体"/>
                <w:kern w:val="0"/>
                <w:sz w:val="21"/>
                <w:szCs w:val="21"/>
              </w:rPr>
            </w:pPr>
          </w:p>
        </w:tc>
        <w:tc>
          <w:tcPr>
            <w:tcW w:w="1392" w:type="dxa"/>
            <w:vMerge w:val="continue"/>
            <w:vAlign w:val="center"/>
          </w:tcPr>
          <w:p>
            <w:pPr>
              <w:snapToGrid w:val="0"/>
              <w:spacing w:line="640" w:lineRule="exact"/>
              <w:rPr>
                <w:rFonts w:eastAsia="宋体"/>
                <w:kern w:val="0"/>
                <w:sz w:val="21"/>
                <w:szCs w:val="21"/>
              </w:rPr>
            </w:pPr>
          </w:p>
        </w:tc>
        <w:tc>
          <w:tcPr>
            <w:tcW w:w="1776" w:type="dxa"/>
            <w:vAlign w:val="center"/>
          </w:tcPr>
          <w:p>
            <w:pPr>
              <w:widowControl/>
              <w:snapToGrid w:val="0"/>
              <w:spacing w:line="640" w:lineRule="exact"/>
              <w:jc w:val="center"/>
              <w:rPr>
                <w:rFonts w:eastAsia="宋体"/>
                <w:kern w:val="0"/>
                <w:sz w:val="21"/>
                <w:szCs w:val="21"/>
              </w:rPr>
            </w:pPr>
            <w:r>
              <w:rPr>
                <w:rFonts w:hint="eastAsia" w:eastAsia="宋体"/>
                <w:kern w:val="0"/>
                <w:sz w:val="21"/>
                <w:szCs w:val="21"/>
              </w:rPr>
              <w:t>违规记录</w:t>
            </w:r>
          </w:p>
        </w:tc>
        <w:tc>
          <w:tcPr>
            <w:tcW w:w="828" w:type="dxa"/>
            <w:vAlign w:val="center"/>
          </w:tcPr>
          <w:p>
            <w:pPr>
              <w:widowControl/>
              <w:snapToGrid w:val="0"/>
              <w:spacing w:line="640" w:lineRule="exact"/>
              <w:jc w:val="center"/>
              <w:rPr>
                <w:rFonts w:eastAsia="宋体"/>
                <w:kern w:val="0"/>
                <w:sz w:val="21"/>
                <w:szCs w:val="21"/>
              </w:rPr>
            </w:pPr>
            <w:r>
              <w:rPr>
                <w:rFonts w:hint="eastAsia" w:eastAsia="宋体"/>
                <w:kern w:val="0"/>
                <w:sz w:val="21"/>
                <w:szCs w:val="21"/>
              </w:rPr>
              <w:t>2</w:t>
            </w:r>
          </w:p>
        </w:tc>
        <w:tc>
          <w:tcPr>
            <w:tcW w:w="984" w:type="dxa"/>
            <w:vAlign w:val="center"/>
          </w:tcPr>
          <w:p>
            <w:pPr>
              <w:widowControl/>
              <w:spacing w:line="640" w:lineRule="exact"/>
              <w:jc w:val="center"/>
              <w:rPr>
                <w:rFonts w:eastAsia="宋体"/>
                <w:kern w:val="0"/>
                <w:sz w:val="21"/>
                <w:szCs w:val="21"/>
              </w:rPr>
            </w:pPr>
            <w:r>
              <w:rPr>
                <w:rFonts w:eastAsia="宋体"/>
                <w:kern w:val="0"/>
                <w:sz w:val="21"/>
                <w:szCs w:val="21"/>
              </w:rPr>
              <w:t>2</w:t>
            </w:r>
          </w:p>
        </w:tc>
        <w:tc>
          <w:tcPr>
            <w:tcW w:w="2544" w:type="dxa"/>
            <w:vAlign w:val="center"/>
          </w:tcPr>
          <w:p>
            <w:pPr>
              <w:widowControl/>
              <w:spacing w:line="640" w:lineRule="exact"/>
              <w:jc w:val="center"/>
              <w:rPr>
                <w:rFonts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restart"/>
            <w:vAlign w:val="center"/>
          </w:tcPr>
          <w:p>
            <w:pPr>
              <w:snapToGrid w:val="0"/>
              <w:spacing w:line="640" w:lineRule="exact"/>
              <w:jc w:val="center"/>
              <w:rPr>
                <w:rFonts w:eastAsia="宋体"/>
                <w:kern w:val="0"/>
                <w:sz w:val="21"/>
                <w:szCs w:val="21"/>
              </w:rPr>
            </w:pPr>
            <w:r>
              <w:rPr>
                <w:rFonts w:hint="eastAsia" w:eastAsia="宋体"/>
                <w:kern w:val="0"/>
                <w:sz w:val="21"/>
                <w:szCs w:val="21"/>
              </w:rPr>
              <w:t>共性指标（20/20分）</w:t>
            </w:r>
          </w:p>
        </w:tc>
        <w:tc>
          <w:tcPr>
            <w:tcW w:w="1392" w:type="dxa"/>
            <w:vMerge w:val="restart"/>
            <w:vAlign w:val="center"/>
          </w:tcPr>
          <w:p>
            <w:pPr>
              <w:snapToGrid w:val="0"/>
              <w:spacing w:line="640" w:lineRule="exact"/>
              <w:jc w:val="center"/>
              <w:rPr>
                <w:rFonts w:eastAsia="宋体"/>
                <w:kern w:val="0"/>
                <w:sz w:val="21"/>
                <w:szCs w:val="21"/>
              </w:rPr>
            </w:pPr>
            <w:r>
              <w:rPr>
                <w:rFonts w:hint="eastAsia" w:eastAsia="宋体"/>
                <w:kern w:val="0"/>
                <w:sz w:val="21"/>
                <w:szCs w:val="21"/>
              </w:rPr>
              <w:t>项目效果</w:t>
            </w:r>
          </w:p>
        </w:tc>
        <w:tc>
          <w:tcPr>
            <w:tcW w:w="1776" w:type="dxa"/>
            <w:vAlign w:val="center"/>
          </w:tcPr>
          <w:p>
            <w:pPr>
              <w:widowControl/>
              <w:snapToGrid w:val="0"/>
              <w:spacing w:line="640" w:lineRule="exact"/>
              <w:jc w:val="center"/>
              <w:rPr>
                <w:rFonts w:eastAsia="宋体"/>
                <w:kern w:val="0"/>
                <w:sz w:val="21"/>
                <w:szCs w:val="21"/>
              </w:rPr>
            </w:pPr>
            <w:r>
              <w:rPr>
                <w:rFonts w:hint="eastAsia" w:eastAsia="宋体"/>
                <w:kern w:val="0"/>
                <w:sz w:val="21"/>
                <w:szCs w:val="21"/>
              </w:rPr>
              <w:t>符合性</w:t>
            </w:r>
          </w:p>
        </w:tc>
        <w:tc>
          <w:tcPr>
            <w:tcW w:w="828" w:type="dxa"/>
            <w:vAlign w:val="center"/>
          </w:tcPr>
          <w:p>
            <w:pPr>
              <w:widowControl/>
              <w:snapToGrid w:val="0"/>
              <w:spacing w:line="640" w:lineRule="exact"/>
              <w:jc w:val="center"/>
              <w:rPr>
                <w:rFonts w:eastAsia="宋体"/>
                <w:kern w:val="0"/>
                <w:sz w:val="21"/>
                <w:szCs w:val="21"/>
              </w:rPr>
            </w:pPr>
            <w:r>
              <w:rPr>
                <w:rFonts w:eastAsia="宋体"/>
                <w:kern w:val="0"/>
                <w:sz w:val="21"/>
                <w:szCs w:val="21"/>
              </w:rPr>
              <w:t>1</w:t>
            </w:r>
            <w:r>
              <w:rPr>
                <w:rFonts w:hint="eastAsia" w:eastAsia="宋体"/>
                <w:kern w:val="0"/>
                <w:sz w:val="21"/>
                <w:szCs w:val="21"/>
              </w:rPr>
              <w:t>0</w:t>
            </w:r>
          </w:p>
        </w:tc>
        <w:tc>
          <w:tcPr>
            <w:tcW w:w="984" w:type="dxa"/>
            <w:vAlign w:val="center"/>
          </w:tcPr>
          <w:p>
            <w:pPr>
              <w:widowControl/>
              <w:spacing w:line="640" w:lineRule="exact"/>
              <w:jc w:val="center"/>
              <w:rPr>
                <w:rFonts w:eastAsia="宋体"/>
                <w:kern w:val="0"/>
                <w:sz w:val="21"/>
                <w:szCs w:val="21"/>
              </w:rPr>
            </w:pPr>
            <w:r>
              <w:rPr>
                <w:rFonts w:eastAsia="宋体"/>
                <w:kern w:val="0"/>
                <w:sz w:val="21"/>
                <w:szCs w:val="21"/>
              </w:rPr>
              <w:t>1</w:t>
            </w:r>
            <w:r>
              <w:rPr>
                <w:rFonts w:hint="eastAsia" w:eastAsia="宋体"/>
                <w:kern w:val="0"/>
                <w:sz w:val="21"/>
                <w:szCs w:val="21"/>
              </w:rPr>
              <w:t>0</w:t>
            </w:r>
          </w:p>
        </w:tc>
        <w:tc>
          <w:tcPr>
            <w:tcW w:w="2544" w:type="dxa"/>
            <w:vAlign w:val="center"/>
          </w:tcPr>
          <w:p>
            <w:pPr>
              <w:widowControl/>
              <w:spacing w:line="640" w:lineRule="exact"/>
              <w:jc w:val="center"/>
              <w:rPr>
                <w:rFonts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tcPr>
          <w:p>
            <w:pPr>
              <w:snapToGrid w:val="0"/>
              <w:spacing w:line="640" w:lineRule="exact"/>
              <w:rPr>
                <w:rFonts w:eastAsia="宋体"/>
                <w:kern w:val="0"/>
                <w:sz w:val="21"/>
                <w:szCs w:val="21"/>
              </w:rPr>
            </w:pPr>
          </w:p>
        </w:tc>
        <w:tc>
          <w:tcPr>
            <w:tcW w:w="1392" w:type="dxa"/>
            <w:vMerge w:val="continue"/>
          </w:tcPr>
          <w:p>
            <w:pPr>
              <w:snapToGrid w:val="0"/>
              <w:spacing w:line="640" w:lineRule="exact"/>
              <w:rPr>
                <w:rFonts w:eastAsia="宋体"/>
                <w:kern w:val="0"/>
                <w:sz w:val="21"/>
                <w:szCs w:val="21"/>
              </w:rPr>
            </w:pPr>
          </w:p>
        </w:tc>
        <w:tc>
          <w:tcPr>
            <w:tcW w:w="1776" w:type="dxa"/>
            <w:vAlign w:val="center"/>
          </w:tcPr>
          <w:p>
            <w:pPr>
              <w:widowControl/>
              <w:snapToGrid w:val="0"/>
              <w:spacing w:line="640" w:lineRule="exact"/>
              <w:jc w:val="center"/>
              <w:rPr>
                <w:rFonts w:eastAsia="宋体"/>
                <w:kern w:val="0"/>
                <w:sz w:val="21"/>
                <w:szCs w:val="21"/>
              </w:rPr>
            </w:pPr>
            <w:r>
              <w:rPr>
                <w:rFonts w:hint="eastAsia" w:eastAsia="宋体"/>
                <w:kern w:val="0"/>
                <w:sz w:val="21"/>
                <w:szCs w:val="21"/>
              </w:rPr>
              <w:t>成长性</w:t>
            </w:r>
          </w:p>
        </w:tc>
        <w:tc>
          <w:tcPr>
            <w:tcW w:w="828" w:type="dxa"/>
            <w:vAlign w:val="center"/>
          </w:tcPr>
          <w:p>
            <w:pPr>
              <w:widowControl/>
              <w:snapToGrid w:val="0"/>
              <w:spacing w:line="640" w:lineRule="exact"/>
              <w:jc w:val="center"/>
              <w:rPr>
                <w:rFonts w:eastAsia="宋体"/>
                <w:kern w:val="0"/>
                <w:sz w:val="21"/>
                <w:szCs w:val="21"/>
              </w:rPr>
            </w:pPr>
            <w:r>
              <w:rPr>
                <w:rFonts w:hint="eastAsia" w:eastAsia="宋体"/>
                <w:kern w:val="0"/>
                <w:sz w:val="21"/>
                <w:szCs w:val="21"/>
              </w:rPr>
              <w:t>10</w:t>
            </w:r>
          </w:p>
        </w:tc>
        <w:tc>
          <w:tcPr>
            <w:tcW w:w="984" w:type="dxa"/>
            <w:vAlign w:val="center"/>
          </w:tcPr>
          <w:p>
            <w:pPr>
              <w:widowControl/>
              <w:spacing w:line="640" w:lineRule="exact"/>
              <w:jc w:val="center"/>
              <w:rPr>
                <w:rFonts w:eastAsia="宋体"/>
                <w:kern w:val="0"/>
                <w:sz w:val="21"/>
                <w:szCs w:val="21"/>
              </w:rPr>
            </w:pPr>
            <w:r>
              <w:rPr>
                <w:rFonts w:hint="eastAsia" w:eastAsia="宋体"/>
                <w:kern w:val="0"/>
                <w:sz w:val="21"/>
                <w:szCs w:val="21"/>
              </w:rPr>
              <w:t>10</w:t>
            </w:r>
          </w:p>
        </w:tc>
        <w:tc>
          <w:tcPr>
            <w:tcW w:w="2544" w:type="dxa"/>
            <w:vAlign w:val="center"/>
          </w:tcPr>
          <w:p>
            <w:pPr>
              <w:widowControl/>
              <w:spacing w:line="640" w:lineRule="exact"/>
              <w:jc w:val="center"/>
              <w:rPr>
                <w:rFonts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96" w:type="dxa"/>
            <w:vMerge w:val="restart"/>
            <w:vAlign w:val="center"/>
          </w:tcPr>
          <w:p>
            <w:pPr>
              <w:snapToGrid w:val="0"/>
              <w:spacing w:line="640" w:lineRule="exact"/>
              <w:jc w:val="center"/>
              <w:rPr>
                <w:rFonts w:eastAsia="宋体"/>
                <w:kern w:val="0"/>
                <w:sz w:val="21"/>
                <w:szCs w:val="21"/>
              </w:rPr>
            </w:pPr>
            <w:r>
              <w:rPr>
                <w:rFonts w:hint="eastAsia" w:eastAsia="宋体"/>
                <w:kern w:val="0"/>
                <w:sz w:val="21"/>
                <w:szCs w:val="21"/>
              </w:rPr>
              <w:t>特性指标（50/50分）</w:t>
            </w:r>
          </w:p>
        </w:tc>
        <w:tc>
          <w:tcPr>
            <w:tcW w:w="1392" w:type="dxa"/>
            <w:vAlign w:val="center"/>
          </w:tcPr>
          <w:p>
            <w:pPr>
              <w:snapToGrid w:val="0"/>
              <w:spacing w:line="640" w:lineRule="exact"/>
              <w:jc w:val="center"/>
              <w:rPr>
                <w:rFonts w:eastAsia="宋体"/>
                <w:kern w:val="0"/>
                <w:sz w:val="21"/>
                <w:szCs w:val="21"/>
              </w:rPr>
            </w:pPr>
            <w:r>
              <w:rPr>
                <w:rFonts w:eastAsia="宋体"/>
                <w:kern w:val="0"/>
                <w:sz w:val="21"/>
                <w:szCs w:val="21"/>
              </w:rPr>
              <w:t>经济效益</w:t>
            </w:r>
          </w:p>
        </w:tc>
        <w:tc>
          <w:tcPr>
            <w:tcW w:w="1776" w:type="dxa"/>
            <w:vAlign w:val="center"/>
          </w:tcPr>
          <w:p>
            <w:pPr>
              <w:widowControl/>
              <w:snapToGrid w:val="0"/>
              <w:spacing w:line="640" w:lineRule="exact"/>
              <w:rPr>
                <w:rFonts w:eastAsia="宋体"/>
                <w:kern w:val="0"/>
                <w:sz w:val="21"/>
                <w:szCs w:val="21"/>
              </w:rPr>
            </w:pPr>
            <w:r>
              <w:rPr>
                <w:rFonts w:hint="eastAsia" w:eastAsia="宋体"/>
                <w:kern w:val="0"/>
                <w:sz w:val="21"/>
                <w:szCs w:val="21"/>
              </w:rPr>
              <w:t xml:space="preserve"> 完成培训任务</w:t>
            </w:r>
          </w:p>
        </w:tc>
        <w:tc>
          <w:tcPr>
            <w:tcW w:w="828" w:type="dxa"/>
            <w:vAlign w:val="center"/>
          </w:tcPr>
          <w:p>
            <w:pPr>
              <w:widowControl/>
              <w:snapToGrid w:val="0"/>
              <w:spacing w:line="640" w:lineRule="exact"/>
              <w:jc w:val="center"/>
              <w:rPr>
                <w:rFonts w:eastAsia="宋体"/>
                <w:kern w:val="0"/>
                <w:sz w:val="21"/>
                <w:szCs w:val="21"/>
              </w:rPr>
            </w:pPr>
            <w:r>
              <w:rPr>
                <w:rFonts w:hint="eastAsia" w:eastAsia="宋体"/>
                <w:kern w:val="0"/>
                <w:sz w:val="21"/>
                <w:szCs w:val="21"/>
              </w:rPr>
              <w:t>20</w:t>
            </w:r>
          </w:p>
        </w:tc>
        <w:tc>
          <w:tcPr>
            <w:tcW w:w="984" w:type="dxa"/>
            <w:vAlign w:val="center"/>
          </w:tcPr>
          <w:p>
            <w:pPr>
              <w:widowControl/>
              <w:spacing w:line="640" w:lineRule="exact"/>
              <w:jc w:val="center"/>
              <w:rPr>
                <w:rFonts w:eastAsia="宋体"/>
                <w:kern w:val="0"/>
                <w:sz w:val="21"/>
                <w:szCs w:val="21"/>
              </w:rPr>
            </w:pPr>
            <w:r>
              <w:rPr>
                <w:rFonts w:hint="eastAsia" w:eastAsia="宋体"/>
                <w:kern w:val="0"/>
                <w:sz w:val="21"/>
                <w:szCs w:val="21"/>
              </w:rPr>
              <w:t>20</w:t>
            </w:r>
          </w:p>
        </w:tc>
        <w:tc>
          <w:tcPr>
            <w:tcW w:w="2544" w:type="dxa"/>
            <w:vAlign w:val="center"/>
          </w:tcPr>
          <w:p>
            <w:pPr>
              <w:widowControl/>
              <w:spacing w:line="640" w:lineRule="exact"/>
              <w:jc w:val="center"/>
              <w:rPr>
                <w:rFonts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tcPr>
          <w:p>
            <w:pPr>
              <w:snapToGrid w:val="0"/>
              <w:spacing w:line="640" w:lineRule="exact"/>
              <w:rPr>
                <w:rFonts w:eastAsia="宋体"/>
                <w:kern w:val="0"/>
                <w:sz w:val="21"/>
                <w:szCs w:val="21"/>
              </w:rPr>
            </w:pPr>
          </w:p>
        </w:tc>
        <w:tc>
          <w:tcPr>
            <w:tcW w:w="1392" w:type="dxa"/>
            <w:vMerge w:val="restart"/>
            <w:vAlign w:val="center"/>
          </w:tcPr>
          <w:p>
            <w:pPr>
              <w:snapToGrid w:val="0"/>
              <w:spacing w:line="640" w:lineRule="exact"/>
              <w:jc w:val="center"/>
              <w:rPr>
                <w:rFonts w:eastAsia="宋体"/>
                <w:kern w:val="0"/>
                <w:sz w:val="21"/>
                <w:szCs w:val="21"/>
              </w:rPr>
            </w:pPr>
            <w:r>
              <w:rPr>
                <w:rFonts w:eastAsia="宋体"/>
                <w:kern w:val="0"/>
                <w:sz w:val="21"/>
                <w:szCs w:val="21"/>
              </w:rPr>
              <w:t>社会效益</w:t>
            </w:r>
            <w:r>
              <w:rPr>
                <w:rFonts w:hint="eastAsia" w:eastAsia="宋体"/>
                <w:kern w:val="0"/>
                <w:sz w:val="21"/>
                <w:szCs w:val="21"/>
              </w:rPr>
              <w:t>（30/30分）</w:t>
            </w:r>
          </w:p>
        </w:tc>
        <w:tc>
          <w:tcPr>
            <w:tcW w:w="1776" w:type="dxa"/>
            <w:vAlign w:val="center"/>
          </w:tcPr>
          <w:p>
            <w:pPr>
              <w:widowControl/>
              <w:snapToGrid w:val="0"/>
              <w:spacing w:line="640" w:lineRule="exact"/>
              <w:jc w:val="center"/>
              <w:rPr>
                <w:rFonts w:eastAsia="宋体"/>
                <w:kern w:val="0"/>
                <w:sz w:val="21"/>
                <w:szCs w:val="21"/>
              </w:rPr>
            </w:pPr>
            <w:r>
              <w:rPr>
                <w:rFonts w:hint="eastAsia" w:eastAsia="宋体"/>
                <w:kern w:val="0"/>
                <w:sz w:val="21"/>
                <w:szCs w:val="21"/>
              </w:rPr>
              <w:t>师生满意度</w:t>
            </w:r>
          </w:p>
        </w:tc>
        <w:tc>
          <w:tcPr>
            <w:tcW w:w="828" w:type="dxa"/>
            <w:vAlign w:val="center"/>
          </w:tcPr>
          <w:p>
            <w:pPr>
              <w:widowControl/>
              <w:snapToGrid w:val="0"/>
              <w:spacing w:line="640" w:lineRule="exact"/>
              <w:jc w:val="center"/>
              <w:rPr>
                <w:rFonts w:eastAsia="宋体"/>
                <w:kern w:val="0"/>
                <w:sz w:val="21"/>
                <w:szCs w:val="21"/>
              </w:rPr>
            </w:pPr>
            <w:r>
              <w:rPr>
                <w:rFonts w:hint="eastAsia" w:eastAsia="宋体"/>
                <w:kern w:val="0"/>
                <w:sz w:val="21"/>
                <w:szCs w:val="21"/>
              </w:rPr>
              <w:t>15</w:t>
            </w:r>
          </w:p>
        </w:tc>
        <w:tc>
          <w:tcPr>
            <w:tcW w:w="984" w:type="dxa"/>
            <w:vAlign w:val="center"/>
          </w:tcPr>
          <w:p>
            <w:pPr>
              <w:widowControl/>
              <w:spacing w:line="640" w:lineRule="exact"/>
              <w:jc w:val="center"/>
              <w:rPr>
                <w:rFonts w:eastAsia="宋体"/>
                <w:kern w:val="0"/>
                <w:sz w:val="21"/>
                <w:szCs w:val="21"/>
              </w:rPr>
            </w:pPr>
            <w:r>
              <w:rPr>
                <w:rFonts w:hint="eastAsia" w:eastAsia="宋体"/>
                <w:kern w:val="0"/>
                <w:sz w:val="21"/>
                <w:szCs w:val="21"/>
              </w:rPr>
              <w:t>15</w:t>
            </w:r>
          </w:p>
        </w:tc>
        <w:tc>
          <w:tcPr>
            <w:tcW w:w="2544" w:type="dxa"/>
            <w:vAlign w:val="center"/>
          </w:tcPr>
          <w:p>
            <w:pPr>
              <w:widowControl/>
              <w:spacing w:line="640" w:lineRule="exact"/>
              <w:jc w:val="center"/>
              <w:rPr>
                <w:rFonts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tcPr>
          <w:p>
            <w:pPr>
              <w:snapToGrid w:val="0"/>
              <w:spacing w:line="640" w:lineRule="exact"/>
              <w:rPr>
                <w:rFonts w:eastAsia="宋体"/>
                <w:kern w:val="0"/>
                <w:sz w:val="21"/>
                <w:szCs w:val="21"/>
              </w:rPr>
            </w:pPr>
          </w:p>
        </w:tc>
        <w:tc>
          <w:tcPr>
            <w:tcW w:w="1392" w:type="dxa"/>
            <w:vMerge w:val="continue"/>
            <w:vAlign w:val="center"/>
          </w:tcPr>
          <w:p>
            <w:pPr>
              <w:snapToGrid w:val="0"/>
              <w:spacing w:line="640" w:lineRule="exact"/>
              <w:jc w:val="center"/>
              <w:rPr>
                <w:rFonts w:eastAsia="宋体"/>
                <w:kern w:val="0"/>
                <w:sz w:val="21"/>
                <w:szCs w:val="21"/>
              </w:rPr>
            </w:pPr>
          </w:p>
        </w:tc>
        <w:tc>
          <w:tcPr>
            <w:tcW w:w="1776" w:type="dxa"/>
            <w:vAlign w:val="center"/>
          </w:tcPr>
          <w:p>
            <w:pPr>
              <w:widowControl/>
              <w:snapToGrid w:val="0"/>
              <w:spacing w:line="640" w:lineRule="exact"/>
              <w:jc w:val="center"/>
              <w:rPr>
                <w:rFonts w:eastAsia="宋体"/>
                <w:kern w:val="0"/>
                <w:sz w:val="21"/>
                <w:szCs w:val="21"/>
              </w:rPr>
            </w:pPr>
            <w:r>
              <w:rPr>
                <w:rFonts w:hint="eastAsia" w:eastAsia="宋体"/>
                <w:kern w:val="0"/>
                <w:sz w:val="21"/>
                <w:szCs w:val="21"/>
              </w:rPr>
              <w:t>家长满意度</w:t>
            </w:r>
          </w:p>
        </w:tc>
        <w:tc>
          <w:tcPr>
            <w:tcW w:w="828" w:type="dxa"/>
            <w:vAlign w:val="center"/>
          </w:tcPr>
          <w:p>
            <w:pPr>
              <w:widowControl/>
              <w:snapToGrid w:val="0"/>
              <w:spacing w:line="640" w:lineRule="exact"/>
              <w:jc w:val="center"/>
              <w:rPr>
                <w:rFonts w:eastAsia="宋体"/>
                <w:kern w:val="0"/>
                <w:sz w:val="21"/>
                <w:szCs w:val="21"/>
              </w:rPr>
            </w:pPr>
            <w:r>
              <w:rPr>
                <w:rFonts w:hint="eastAsia" w:eastAsia="宋体"/>
                <w:kern w:val="0"/>
                <w:sz w:val="21"/>
                <w:szCs w:val="21"/>
              </w:rPr>
              <w:t>5</w:t>
            </w:r>
          </w:p>
        </w:tc>
        <w:tc>
          <w:tcPr>
            <w:tcW w:w="984" w:type="dxa"/>
            <w:vAlign w:val="center"/>
          </w:tcPr>
          <w:p>
            <w:pPr>
              <w:widowControl/>
              <w:spacing w:line="640" w:lineRule="exact"/>
              <w:jc w:val="center"/>
              <w:rPr>
                <w:rFonts w:eastAsia="宋体"/>
                <w:kern w:val="0"/>
                <w:sz w:val="21"/>
                <w:szCs w:val="21"/>
              </w:rPr>
            </w:pPr>
            <w:r>
              <w:rPr>
                <w:rFonts w:hint="eastAsia" w:eastAsia="宋体"/>
                <w:kern w:val="0"/>
                <w:sz w:val="21"/>
                <w:szCs w:val="21"/>
              </w:rPr>
              <w:t>5</w:t>
            </w:r>
          </w:p>
        </w:tc>
        <w:tc>
          <w:tcPr>
            <w:tcW w:w="2544" w:type="dxa"/>
            <w:vAlign w:val="center"/>
          </w:tcPr>
          <w:p>
            <w:pPr>
              <w:widowControl/>
              <w:spacing w:line="640" w:lineRule="exact"/>
              <w:jc w:val="center"/>
              <w:rPr>
                <w:rFonts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tcPr>
          <w:p>
            <w:pPr>
              <w:snapToGrid w:val="0"/>
              <w:spacing w:line="640" w:lineRule="exact"/>
              <w:rPr>
                <w:rFonts w:eastAsia="宋体"/>
                <w:kern w:val="0"/>
                <w:sz w:val="21"/>
                <w:szCs w:val="21"/>
              </w:rPr>
            </w:pPr>
          </w:p>
        </w:tc>
        <w:tc>
          <w:tcPr>
            <w:tcW w:w="1392" w:type="dxa"/>
            <w:vMerge w:val="continue"/>
            <w:vAlign w:val="center"/>
          </w:tcPr>
          <w:p>
            <w:pPr>
              <w:snapToGrid w:val="0"/>
              <w:spacing w:line="640" w:lineRule="exact"/>
              <w:jc w:val="center"/>
              <w:rPr>
                <w:rFonts w:eastAsia="宋体"/>
                <w:kern w:val="0"/>
                <w:sz w:val="21"/>
                <w:szCs w:val="21"/>
              </w:rPr>
            </w:pPr>
          </w:p>
        </w:tc>
        <w:tc>
          <w:tcPr>
            <w:tcW w:w="1776" w:type="dxa"/>
            <w:vAlign w:val="center"/>
          </w:tcPr>
          <w:p>
            <w:pPr>
              <w:widowControl/>
              <w:snapToGrid w:val="0"/>
              <w:spacing w:line="640" w:lineRule="exact"/>
              <w:jc w:val="center"/>
              <w:rPr>
                <w:rFonts w:eastAsia="宋体"/>
                <w:kern w:val="0"/>
                <w:sz w:val="21"/>
                <w:szCs w:val="21"/>
              </w:rPr>
            </w:pPr>
            <w:r>
              <w:rPr>
                <w:rFonts w:hint="eastAsia" w:eastAsia="宋体"/>
                <w:kern w:val="0"/>
                <w:sz w:val="21"/>
                <w:szCs w:val="21"/>
              </w:rPr>
              <w:t>订单培养</w:t>
            </w:r>
          </w:p>
        </w:tc>
        <w:tc>
          <w:tcPr>
            <w:tcW w:w="828" w:type="dxa"/>
            <w:vAlign w:val="center"/>
          </w:tcPr>
          <w:p>
            <w:pPr>
              <w:widowControl/>
              <w:snapToGrid w:val="0"/>
              <w:spacing w:line="640" w:lineRule="exact"/>
              <w:jc w:val="center"/>
              <w:rPr>
                <w:rFonts w:eastAsia="宋体"/>
                <w:kern w:val="0"/>
                <w:sz w:val="21"/>
                <w:szCs w:val="21"/>
              </w:rPr>
            </w:pPr>
            <w:r>
              <w:rPr>
                <w:rFonts w:eastAsia="宋体"/>
                <w:kern w:val="0"/>
                <w:sz w:val="21"/>
                <w:szCs w:val="21"/>
              </w:rPr>
              <w:t>10</w:t>
            </w:r>
          </w:p>
        </w:tc>
        <w:tc>
          <w:tcPr>
            <w:tcW w:w="984" w:type="dxa"/>
            <w:vAlign w:val="center"/>
          </w:tcPr>
          <w:p>
            <w:pPr>
              <w:widowControl/>
              <w:spacing w:line="640" w:lineRule="exact"/>
              <w:jc w:val="center"/>
              <w:rPr>
                <w:rFonts w:eastAsia="宋体"/>
                <w:kern w:val="0"/>
                <w:sz w:val="21"/>
                <w:szCs w:val="21"/>
              </w:rPr>
            </w:pPr>
            <w:r>
              <w:rPr>
                <w:rFonts w:hint="eastAsia" w:eastAsia="宋体"/>
                <w:kern w:val="0"/>
                <w:sz w:val="21"/>
                <w:szCs w:val="21"/>
              </w:rPr>
              <w:t>9</w:t>
            </w:r>
          </w:p>
        </w:tc>
        <w:tc>
          <w:tcPr>
            <w:tcW w:w="2544" w:type="dxa"/>
            <w:vAlign w:val="center"/>
          </w:tcPr>
          <w:p>
            <w:pPr>
              <w:widowControl/>
              <w:spacing w:line="640" w:lineRule="exact"/>
              <w:jc w:val="center"/>
              <w:rPr>
                <w:rFonts w:eastAsia="宋体"/>
                <w:kern w:val="0"/>
                <w:sz w:val="21"/>
                <w:szCs w:val="21"/>
              </w:rPr>
            </w:pPr>
            <w:r>
              <w:rPr>
                <w:rFonts w:hint="eastAsia" w:eastAsia="宋体"/>
                <w:kern w:val="0"/>
                <w:sz w:val="21"/>
                <w:szCs w:val="21"/>
              </w:rPr>
              <w:t>该项工作需进一步加强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464" w:type="dxa"/>
            <w:gridSpan w:val="3"/>
            <w:vAlign w:val="center"/>
          </w:tcPr>
          <w:p>
            <w:pPr>
              <w:widowControl/>
              <w:snapToGrid w:val="0"/>
              <w:spacing w:line="640" w:lineRule="exact"/>
              <w:jc w:val="center"/>
              <w:rPr>
                <w:rFonts w:eastAsia="宋体"/>
                <w:b/>
                <w:kern w:val="0"/>
                <w:sz w:val="21"/>
                <w:szCs w:val="21"/>
              </w:rPr>
            </w:pPr>
            <w:r>
              <w:rPr>
                <w:rFonts w:eastAsia="宋体"/>
                <w:b/>
                <w:kern w:val="0"/>
                <w:sz w:val="21"/>
                <w:szCs w:val="21"/>
              </w:rPr>
              <w:t>总</w:t>
            </w:r>
            <w:r>
              <w:rPr>
                <w:rFonts w:hint="eastAsia" w:eastAsia="宋体"/>
                <w:b/>
                <w:kern w:val="0"/>
                <w:sz w:val="21"/>
                <w:szCs w:val="21"/>
              </w:rPr>
              <w:t xml:space="preserve">  </w:t>
            </w:r>
            <w:r>
              <w:rPr>
                <w:rFonts w:eastAsia="宋体"/>
                <w:b/>
                <w:kern w:val="0"/>
                <w:sz w:val="21"/>
                <w:szCs w:val="21"/>
              </w:rPr>
              <w:t>分</w:t>
            </w:r>
          </w:p>
        </w:tc>
        <w:tc>
          <w:tcPr>
            <w:tcW w:w="828" w:type="dxa"/>
            <w:vAlign w:val="center"/>
          </w:tcPr>
          <w:p>
            <w:pPr>
              <w:widowControl/>
              <w:spacing w:line="640" w:lineRule="exact"/>
              <w:jc w:val="center"/>
              <w:rPr>
                <w:rFonts w:eastAsia="宋体"/>
                <w:b/>
                <w:kern w:val="0"/>
                <w:sz w:val="21"/>
                <w:szCs w:val="21"/>
              </w:rPr>
            </w:pPr>
            <w:r>
              <w:rPr>
                <w:rFonts w:eastAsia="宋体"/>
                <w:b/>
                <w:kern w:val="0"/>
                <w:sz w:val="21"/>
                <w:szCs w:val="21"/>
              </w:rPr>
              <w:t>100</w:t>
            </w:r>
          </w:p>
        </w:tc>
        <w:tc>
          <w:tcPr>
            <w:tcW w:w="984" w:type="dxa"/>
            <w:vAlign w:val="center"/>
          </w:tcPr>
          <w:p>
            <w:pPr>
              <w:widowControl/>
              <w:spacing w:line="640" w:lineRule="exact"/>
              <w:jc w:val="center"/>
              <w:rPr>
                <w:rFonts w:eastAsia="宋体"/>
                <w:b/>
                <w:kern w:val="0"/>
                <w:sz w:val="21"/>
                <w:szCs w:val="21"/>
              </w:rPr>
            </w:pPr>
            <w:r>
              <w:rPr>
                <w:rFonts w:eastAsia="宋体"/>
                <w:b/>
                <w:kern w:val="0"/>
                <w:sz w:val="21"/>
                <w:szCs w:val="21"/>
              </w:rPr>
              <w:t>9</w:t>
            </w:r>
            <w:r>
              <w:rPr>
                <w:rFonts w:hint="eastAsia" w:eastAsia="宋体"/>
                <w:b/>
                <w:kern w:val="0"/>
                <w:sz w:val="21"/>
                <w:szCs w:val="21"/>
              </w:rPr>
              <w:t>7</w:t>
            </w:r>
          </w:p>
        </w:tc>
        <w:tc>
          <w:tcPr>
            <w:tcW w:w="2544" w:type="dxa"/>
            <w:vAlign w:val="center"/>
          </w:tcPr>
          <w:p>
            <w:pPr>
              <w:widowControl/>
              <w:spacing w:line="640" w:lineRule="exact"/>
              <w:jc w:val="center"/>
              <w:rPr>
                <w:rFonts w:eastAsia="宋体"/>
                <w:b/>
                <w:kern w:val="0"/>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四、绩效评价分析</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eastAsia" w:ascii="仿宋_GB2312" w:hAnsi="仿宋_GB2312" w:eastAsia="仿宋_GB2312" w:cs="仿宋_GB2312"/>
          <w:b/>
          <w:sz w:val="32"/>
          <w:szCs w:val="32"/>
        </w:rPr>
      </w:pPr>
      <w:r>
        <w:rPr>
          <w:rFonts w:hint="eastAsia" w:ascii="方正楷体_GBK" w:hAnsi="方正楷体_GBK" w:eastAsia="方正楷体_GBK" w:cs="方正楷体_GBK"/>
          <w:b/>
          <w:sz w:val="32"/>
          <w:szCs w:val="32"/>
        </w:rPr>
        <w:t>（一）项目决策情况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项目从立项、报批到实施，全过程落实“三重一大”集体决策制度。每进行一个环节前，都经集体讨论作出决定，形成了较为完整的可追溯的项目决策过程链。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lang w:eastAsia="zh-CN"/>
        </w:rPr>
        <w:t>（</w:t>
      </w:r>
      <w:r>
        <w:rPr>
          <w:rFonts w:hint="eastAsia" w:ascii="方正楷体_GBK" w:hAnsi="方正楷体_GBK" w:eastAsia="方正楷体_GBK" w:cs="方正楷体_GBK"/>
          <w:b/>
          <w:sz w:val="32"/>
          <w:szCs w:val="32"/>
          <w:lang w:val="en-US" w:eastAsia="zh-CN"/>
        </w:rPr>
        <w:t>二</w:t>
      </w:r>
      <w:r>
        <w:rPr>
          <w:rFonts w:hint="eastAsia" w:ascii="方正楷体_GBK" w:hAnsi="方正楷体_GBK" w:eastAsia="方正楷体_GBK" w:cs="方正楷体_GBK"/>
          <w:b/>
          <w:sz w:val="32"/>
          <w:szCs w:val="32"/>
          <w:lang w:eastAsia="zh-CN"/>
        </w:rPr>
        <w:t>）</w:t>
      </w:r>
      <w:r>
        <w:rPr>
          <w:rFonts w:hint="eastAsia" w:ascii="方正楷体_GBK" w:hAnsi="方正楷体_GBK" w:eastAsia="方正楷体_GBK" w:cs="方正楷体_GBK"/>
          <w:b/>
          <w:sz w:val="32"/>
          <w:szCs w:val="32"/>
        </w:rPr>
        <w:t>项目管理情况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学校成立了专门的项目管理领导机构和工作机构，校内项目监管部门</w:t>
      </w:r>
      <w:r>
        <w:rPr>
          <w:rFonts w:hint="eastAsia" w:ascii="仿宋_GB2312" w:hAnsi="仿宋_GB2312" w:eastAsia="仿宋_GB2312" w:cs="仿宋_GB2312"/>
          <w:bCs/>
          <w:color w:val="000000"/>
          <w:sz w:val="32"/>
          <w:szCs w:val="32"/>
        </w:rPr>
        <w:t>努力加强与本项目其他四方责任主体的沟通力度，形成了常态化通气机制，努力提高在建项目建设效率。目前正在会同施工单位通过增加人员、增加机械设备等渠道，加快施工进度，尽最大努力确保在建项目预算按时、合理执行到位，尽快实现投资效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lang w:eastAsia="zh-CN"/>
        </w:rPr>
        <w:t>（</w:t>
      </w:r>
      <w:r>
        <w:rPr>
          <w:rFonts w:hint="eastAsia" w:ascii="方正楷体_GBK" w:hAnsi="方正楷体_GBK" w:eastAsia="方正楷体_GBK" w:cs="方正楷体_GBK"/>
          <w:b/>
          <w:sz w:val="32"/>
          <w:szCs w:val="32"/>
          <w:lang w:val="en-US" w:eastAsia="zh-CN"/>
        </w:rPr>
        <w:t>三</w:t>
      </w:r>
      <w:r>
        <w:rPr>
          <w:rFonts w:hint="eastAsia" w:ascii="方正楷体_GBK" w:hAnsi="方正楷体_GBK" w:eastAsia="方正楷体_GBK" w:cs="方正楷体_GBK"/>
          <w:b/>
          <w:sz w:val="32"/>
          <w:szCs w:val="32"/>
          <w:lang w:eastAsia="zh-CN"/>
        </w:rPr>
        <w:t>）</w:t>
      </w:r>
      <w:r>
        <w:rPr>
          <w:rFonts w:hint="eastAsia" w:ascii="方正楷体_GBK" w:hAnsi="方正楷体_GBK" w:eastAsia="方正楷体_GBK" w:cs="方正楷体_GBK"/>
          <w:b/>
          <w:sz w:val="32"/>
          <w:szCs w:val="32"/>
        </w:rPr>
        <w:t>项目产出情况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目前项目</w:t>
      </w:r>
      <w:r>
        <w:rPr>
          <w:rFonts w:hint="eastAsia" w:ascii="仿宋_GB2312" w:hAnsi="仿宋_GB2312" w:eastAsia="仿宋_GB2312" w:cs="仿宋_GB2312"/>
          <w:color w:val="000000"/>
          <w:sz w:val="32"/>
          <w:szCs w:val="32"/>
        </w:rPr>
        <w:t>已通过主体工程验收，</w:t>
      </w:r>
      <w:r>
        <w:rPr>
          <w:rFonts w:hint="eastAsia" w:ascii="仿宋_GB2312" w:hAnsi="仿宋_GB2312" w:eastAsia="仿宋_GB2312" w:cs="仿宋_GB2312"/>
          <w:sz w:val="32"/>
          <w:szCs w:val="32"/>
        </w:rPr>
        <w:t>正在进行配套及附属装修工程施工，已完成主体竣工面积10116.47㎡，土建工程基槽、地基、主体分部验收合格，中央预算内投资执行进度100%，</w:t>
      </w:r>
      <w:r>
        <w:rPr>
          <w:rFonts w:hint="eastAsia" w:ascii="仿宋_GB2312" w:hAnsi="仿宋_GB2312" w:eastAsia="仿宋_GB2312" w:cs="仿宋_GB2312"/>
          <w:color w:val="000000" w:themeColor="text1"/>
          <w:sz w:val="32"/>
          <w:szCs w:val="32"/>
          <w14:textFill>
            <w14:solidFill>
              <w14:schemeClr w14:val="tx1"/>
            </w14:solidFill>
          </w14:textFill>
        </w:rPr>
        <w:t>建安工程费、工程项目其他费、基本预备费等成本指标在合理值范围内。学校正在尽最大努力筹措地方配套资金，努力实现其他经济指标。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firstLine="321" w:firstLineChars="100"/>
        <w:textAlignment w:val="auto"/>
        <w:rPr>
          <w:rFonts w:hint="eastAsia" w:ascii="仿宋_GB2312" w:hAnsi="仿宋_GB2312" w:eastAsia="仿宋_GB2312" w:cs="仿宋_GB2312"/>
          <w:b/>
          <w:sz w:val="32"/>
          <w:szCs w:val="32"/>
        </w:rPr>
      </w:pPr>
      <w:r>
        <w:rPr>
          <w:rFonts w:hint="eastAsia" w:ascii="方正楷体_GBK" w:hAnsi="方正楷体_GBK" w:eastAsia="方正楷体_GBK" w:cs="方正楷体_GBK"/>
          <w:b/>
          <w:sz w:val="32"/>
          <w:szCs w:val="32"/>
          <w:lang w:eastAsia="zh-CN"/>
        </w:rPr>
        <w:t>（</w:t>
      </w:r>
      <w:r>
        <w:rPr>
          <w:rFonts w:hint="eastAsia" w:ascii="方正楷体_GBK" w:hAnsi="方正楷体_GBK" w:eastAsia="方正楷体_GBK" w:cs="方正楷体_GBK"/>
          <w:b/>
          <w:sz w:val="32"/>
          <w:szCs w:val="32"/>
          <w:lang w:val="en-US" w:eastAsia="zh-CN"/>
        </w:rPr>
        <w:t>四</w:t>
      </w:r>
      <w:r>
        <w:rPr>
          <w:rFonts w:hint="eastAsia" w:ascii="方正楷体_GBK" w:hAnsi="方正楷体_GBK" w:eastAsia="方正楷体_GBK" w:cs="方正楷体_GBK"/>
          <w:b/>
          <w:sz w:val="32"/>
          <w:szCs w:val="32"/>
          <w:lang w:eastAsia="zh-CN"/>
        </w:rPr>
        <w:t>）</w:t>
      </w:r>
      <w:r>
        <w:rPr>
          <w:rFonts w:hint="eastAsia" w:ascii="方正楷体_GBK" w:hAnsi="方正楷体_GBK" w:eastAsia="方正楷体_GBK" w:cs="方正楷体_GBK"/>
          <w:b/>
          <w:sz w:val="32"/>
          <w:szCs w:val="32"/>
        </w:rPr>
        <w:t>项目效益情况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项目建成后可增强学校的实训能力，搭建学生就业和创业的预热平台，实现“订单式”培养，实现学校人才培养和企业人才需求间的“无缝对接”。</w:t>
      </w:r>
      <w:r>
        <w:rPr>
          <w:rFonts w:hint="eastAsia" w:ascii="仿宋_GB2312" w:hAnsi="仿宋_GB2312" w:eastAsia="仿宋_GB2312" w:cs="仿宋_GB2312"/>
          <w:bCs/>
          <w:sz w:val="32"/>
          <w:szCs w:val="32"/>
          <w:lang w:val="en-US" w:eastAsia="zh-CN"/>
        </w:rPr>
        <w:t>预计</w:t>
      </w:r>
      <w:r>
        <w:rPr>
          <w:rFonts w:hint="eastAsia" w:ascii="仿宋_GB2312" w:hAnsi="仿宋_GB2312" w:eastAsia="仿宋_GB2312" w:cs="仿宋_GB2312"/>
          <w:bCs/>
          <w:sz w:val="32"/>
          <w:szCs w:val="32"/>
        </w:rPr>
        <w:t>年培训规模5000人次以上，每年实现培训收入80万元。</w:t>
      </w:r>
    </w:p>
    <w:p>
      <w:pPr>
        <w:pStyle w:val="2"/>
        <w:ind w:firstLine="640" w:firstLineChars="200"/>
        <w:rPr>
          <w:rFonts w:hint="eastAsia" w:ascii="黑体" w:hAnsi="黑体" w:eastAsia="黑体" w:cs="黑体"/>
          <w:lang w:val="en-US" w:eastAsia="zh-CN"/>
        </w:rPr>
      </w:pPr>
      <w:r>
        <w:rPr>
          <w:rFonts w:hint="eastAsia" w:ascii="黑体" w:hAnsi="黑体" w:eastAsia="黑体" w:cs="黑体"/>
          <w:bCs/>
          <w:sz w:val="32"/>
          <w:szCs w:val="32"/>
          <w:lang w:val="en-US" w:eastAsia="zh-CN"/>
        </w:rPr>
        <w:t>五、存在主要问题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根据本项目可行性研究报告批复和招标时的造价清单，该项目需要自筹地方配套资金650万元（不含实训设备324万元）。由于规划批复、施工许可等因素造成的工期延误，加之市政规划调整后变更屋顶设计，人工、建材连连上涨等不利因素增加的建设成本，在不考虑原项目设计施工配套及附属工程255万的前提下，仅建安工程费、工程项目其他费、基本预备费三项的自筹地方配套资金至少还有近475万元的缺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六、相关措施建议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面对目前还存在的资金重大缺口现状，学校党政高度重视重点建设项目配套资金问题，积极寻求解决办法。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（一）严格控制投资总额。在四川省农村电子商务“产学研</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基地建设项目方面，持续加强监管力度，要求施工单位严格按照施工图和招标工程量清单施工，从严把控施工过程中可能产生的工程量变更情况，努力控制投资总额。</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开源节流高质建设。为推进项目建设，自2019年8月以来，学校多次召开校长办公（扩大）会和党委（扩大）会。经集体研究，决定适当压缩非紧急、非必须的其他项目采购，最大限度压缩零星工程维修改造经费，最大限度为重点项目建设提供资金保障。</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加大力度提高绩效。</w:t>
      </w:r>
      <w:r>
        <w:rPr>
          <w:rFonts w:hint="eastAsia" w:ascii="仿宋_GB2312" w:hAnsi="仿宋_GB2312" w:eastAsia="仿宋_GB2312" w:cs="仿宋_GB2312"/>
          <w:color w:val="000000"/>
          <w:sz w:val="32"/>
          <w:szCs w:val="32"/>
        </w:rPr>
        <w:t>进一步完善预算执行和绩效评估责任制度，将责任落实到岗，任务落实到人。加大对未执行项目预算或绩效评估滞后的情况督导和监察力度，将预算执行情况纳入部门目标考核，对不作为、假作为或未实现预期绩效的责任人严肃问责、追责。</w:t>
      </w:r>
    </w:p>
    <w:p>
      <w:pPr>
        <w:pStyle w:val="2"/>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outlineLvl w:val="9"/>
      </w:pPr>
    </w:p>
    <w:p>
      <w:pPr>
        <w:pStyle w:val="2"/>
        <w:rPr>
          <w:rFonts w:hint="eastAsia" w:ascii="仿宋_GB2312" w:hAnsi="仿宋_GB2312" w:eastAsia="仿宋_GB2312" w:cs="仿宋_GB2312"/>
          <w:b/>
          <w:bCs/>
          <w:sz w:val="32"/>
          <w:szCs w:val="32"/>
        </w:rPr>
      </w:pPr>
    </w:p>
    <w:p>
      <w:pPr>
        <w:pStyle w:val="2"/>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Style w:val="27"/>
          <w:rFonts w:ascii="黑体" w:hAnsi="黑体" w:eastAsia="黑体"/>
          <w:b w:val="0"/>
          <w:color w:val="auto"/>
          <w:highlight w:val="none"/>
        </w:rPr>
      </w:pPr>
    </w:p>
    <w:p>
      <w:pPr>
        <w:pageBreakBefore w:val="0"/>
        <w:widowControl/>
        <w:kinsoku/>
        <w:wordWrap/>
        <w:overflowPunct/>
        <w:topLinePunct w:val="0"/>
        <w:bidi w:val="0"/>
        <w:spacing w:line="580" w:lineRule="exact"/>
        <w:jc w:val="left"/>
        <w:textAlignment w:val="auto"/>
        <w:rPr>
          <w:rStyle w:val="27"/>
          <w:rFonts w:ascii="黑体" w:hAnsi="黑体" w:eastAsia="黑体"/>
          <w:b w:val="0"/>
          <w:sz w:val="30"/>
          <w:szCs w:val="30"/>
        </w:rPr>
      </w:pPr>
    </w:p>
    <w:p>
      <w:pPr>
        <w:pageBreakBefore w:val="0"/>
        <w:kinsoku/>
        <w:wordWrap/>
        <w:overflowPunct/>
        <w:topLinePunct w:val="0"/>
        <w:bidi w:val="0"/>
        <w:spacing w:line="580" w:lineRule="exact"/>
        <w:jc w:val="center"/>
        <w:textAlignment w:val="auto"/>
        <w:outlineLvl w:val="0"/>
        <w:rPr>
          <w:rFonts w:hint="eastAsia" w:ascii="仿宋_GB2312" w:hAnsi="仿宋_GB2312" w:eastAsia="仿宋_GB2312" w:cs="仿宋_GB2312"/>
          <w:b w:val="0"/>
          <w:color w:val="000000"/>
          <w:sz w:val="32"/>
          <w:szCs w:val="32"/>
        </w:rPr>
      </w:pPr>
      <w:bookmarkStart w:id="71" w:name="_Toc15396618"/>
      <w:r>
        <w:rPr>
          <w:rFonts w:hint="eastAsia" w:ascii="黑体" w:hAnsi="黑体" w:eastAsia="黑体" w:cs="黑体"/>
          <w:color w:val="000000"/>
          <w:sz w:val="44"/>
          <w:szCs w:val="44"/>
        </w:rPr>
        <w:t>第</w:t>
      </w:r>
      <w:r>
        <w:rPr>
          <w:rStyle w:val="27"/>
          <w:rFonts w:hint="eastAsia" w:ascii="黑体" w:hAnsi="黑体" w:eastAsia="黑体" w:cs="黑体"/>
          <w:b w:val="0"/>
          <w:sz w:val="44"/>
          <w:szCs w:val="44"/>
        </w:rPr>
        <w:t>五部分 附表</w:t>
      </w:r>
      <w:bookmarkEnd w:id="69"/>
      <w:bookmarkEnd w:id="71"/>
      <w:bookmarkStart w:id="72" w:name="_Toc15396619"/>
    </w:p>
    <w:p>
      <w:pPr>
        <w:pStyle w:val="4"/>
        <w:pageBreakBefore w:val="0"/>
        <w:widowControl w:val="0"/>
        <w:kinsoku/>
        <w:wordWrap/>
        <w:overflowPunct/>
        <w:topLinePunct w:val="0"/>
        <w:autoSpaceDE/>
        <w:autoSpaceDN/>
        <w:bidi w:val="0"/>
        <w:adjustRightInd w:val="0"/>
        <w:snapToGrid w:val="0"/>
        <w:spacing w:before="0" w:after="0" w:line="560" w:lineRule="exact"/>
        <w:textAlignment w:val="auto"/>
        <w:rPr>
          <w:rFonts w:hint="eastAsia" w:ascii="仿宋_GB2312" w:hAnsi="仿宋_GB2312" w:eastAsia="仿宋_GB2312" w:cs="仿宋_GB2312"/>
          <w:b w:val="0"/>
          <w:color w:val="000000"/>
          <w:sz w:val="32"/>
          <w:szCs w:val="32"/>
        </w:rPr>
      </w:pPr>
    </w:p>
    <w:p>
      <w:pPr>
        <w:pStyle w:val="4"/>
        <w:pageBreakBefore w:val="0"/>
        <w:widowControl w:val="0"/>
        <w:kinsoku/>
        <w:wordWrap/>
        <w:overflowPunct/>
        <w:topLinePunct w:val="0"/>
        <w:autoSpaceDE/>
        <w:autoSpaceDN/>
        <w:bidi w:val="0"/>
        <w:adjustRightInd w:val="0"/>
        <w:snapToGrid w:val="0"/>
        <w:spacing w:before="0" w:after="0"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color w:val="000000"/>
          <w:sz w:val="32"/>
          <w:szCs w:val="32"/>
        </w:rPr>
        <w:t>一、收</w:t>
      </w:r>
      <w:r>
        <w:rPr>
          <w:rStyle w:val="28"/>
          <w:rFonts w:hint="eastAsia" w:ascii="仿宋_GB2312" w:hAnsi="仿宋_GB2312" w:eastAsia="仿宋_GB2312" w:cs="仿宋_GB2312"/>
          <w:b w:val="0"/>
          <w:bCs w:val="0"/>
          <w:sz w:val="32"/>
          <w:szCs w:val="32"/>
        </w:rPr>
        <w:t>入支出决算总表</w:t>
      </w:r>
      <w:bookmarkEnd w:id="72"/>
    </w:p>
    <w:p>
      <w:pPr>
        <w:pStyle w:val="4"/>
        <w:pageBreakBefore w:val="0"/>
        <w:widowControl w:val="0"/>
        <w:kinsoku/>
        <w:wordWrap/>
        <w:overflowPunct/>
        <w:topLinePunct w:val="0"/>
        <w:autoSpaceDE/>
        <w:autoSpaceDN/>
        <w:bidi w:val="0"/>
        <w:adjustRightInd w:val="0"/>
        <w:snapToGrid w:val="0"/>
        <w:spacing w:before="0" w:after="0" w:line="560" w:lineRule="exact"/>
        <w:textAlignment w:val="auto"/>
        <w:rPr>
          <w:rFonts w:hint="eastAsia" w:ascii="仿宋_GB2312" w:hAnsi="仿宋_GB2312" w:eastAsia="仿宋_GB2312" w:cs="仿宋_GB2312"/>
          <w:color w:val="000000"/>
          <w:sz w:val="32"/>
          <w:szCs w:val="32"/>
        </w:rPr>
      </w:pPr>
      <w:bookmarkStart w:id="73" w:name="_Toc15396620"/>
      <w:r>
        <w:rPr>
          <w:rFonts w:hint="eastAsia" w:ascii="仿宋_GB2312" w:hAnsi="仿宋_GB2312" w:eastAsia="仿宋_GB2312" w:cs="仿宋_GB2312"/>
          <w:b w:val="0"/>
          <w:color w:val="000000"/>
          <w:sz w:val="32"/>
          <w:szCs w:val="32"/>
        </w:rPr>
        <w:t>二、收</w:t>
      </w:r>
      <w:r>
        <w:rPr>
          <w:rStyle w:val="28"/>
          <w:rFonts w:hint="eastAsia" w:ascii="仿宋_GB2312" w:hAnsi="仿宋_GB2312" w:eastAsia="仿宋_GB2312" w:cs="仿宋_GB2312"/>
          <w:b w:val="0"/>
          <w:bCs w:val="0"/>
          <w:sz w:val="32"/>
          <w:szCs w:val="32"/>
        </w:rPr>
        <w:t>入决算表</w:t>
      </w:r>
      <w:bookmarkEnd w:id="73"/>
    </w:p>
    <w:p>
      <w:pPr>
        <w:pStyle w:val="4"/>
        <w:pageBreakBefore w:val="0"/>
        <w:widowControl w:val="0"/>
        <w:kinsoku/>
        <w:wordWrap/>
        <w:overflowPunct/>
        <w:topLinePunct w:val="0"/>
        <w:autoSpaceDE/>
        <w:autoSpaceDN/>
        <w:bidi w:val="0"/>
        <w:adjustRightInd w:val="0"/>
        <w:snapToGrid w:val="0"/>
        <w:spacing w:before="0" w:after="0" w:line="560" w:lineRule="exact"/>
        <w:textAlignment w:val="auto"/>
        <w:rPr>
          <w:rFonts w:hint="eastAsia" w:ascii="仿宋_GB2312" w:hAnsi="仿宋_GB2312" w:eastAsia="仿宋_GB2312" w:cs="仿宋_GB2312"/>
          <w:color w:val="000000"/>
          <w:sz w:val="32"/>
          <w:szCs w:val="32"/>
        </w:rPr>
      </w:pPr>
      <w:bookmarkStart w:id="74" w:name="_Toc15396621"/>
      <w:r>
        <w:rPr>
          <w:rStyle w:val="28"/>
          <w:rFonts w:hint="eastAsia" w:ascii="仿宋_GB2312" w:hAnsi="仿宋_GB2312" w:eastAsia="仿宋_GB2312" w:cs="仿宋_GB2312"/>
          <w:b w:val="0"/>
          <w:bCs w:val="0"/>
          <w:sz w:val="32"/>
          <w:szCs w:val="32"/>
        </w:rPr>
        <w:t>三、</w:t>
      </w:r>
      <w:r>
        <w:rPr>
          <w:rFonts w:hint="eastAsia" w:ascii="仿宋_GB2312" w:hAnsi="仿宋_GB2312" w:eastAsia="仿宋_GB2312" w:cs="仿宋_GB2312"/>
          <w:b w:val="0"/>
          <w:color w:val="000000"/>
          <w:sz w:val="32"/>
          <w:szCs w:val="32"/>
        </w:rPr>
        <w:t>支</w:t>
      </w:r>
      <w:r>
        <w:rPr>
          <w:rStyle w:val="28"/>
          <w:rFonts w:hint="eastAsia" w:ascii="仿宋_GB2312" w:hAnsi="仿宋_GB2312" w:eastAsia="仿宋_GB2312" w:cs="仿宋_GB2312"/>
          <w:b w:val="0"/>
          <w:bCs w:val="0"/>
          <w:sz w:val="32"/>
          <w:szCs w:val="32"/>
        </w:rPr>
        <w:t>出决算表</w:t>
      </w:r>
      <w:bookmarkEnd w:id="74"/>
    </w:p>
    <w:p>
      <w:pPr>
        <w:pStyle w:val="4"/>
        <w:pageBreakBefore w:val="0"/>
        <w:widowControl w:val="0"/>
        <w:kinsoku/>
        <w:wordWrap/>
        <w:overflowPunct/>
        <w:topLinePunct w:val="0"/>
        <w:autoSpaceDE/>
        <w:autoSpaceDN/>
        <w:bidi w:val="0"/>
        <w:adjustRightInd w:val="0"/>
        <w:snapToGrid w:val="0"/>
        <w:spacing w:before="0" w:after="0" w:line="560" w:lineRule="exact"/>
        <w:textAlignment w:val="auto"/>
        <w:rPr>
          <w:rFonts w:hint="eastAsia" w:ascii="仿宋_GB2312" w:hAnsi="仿宋_GB2312" w:eastAsia="仿宋_GB2312" w:cs="仿宋_GB2312"/>
          <w:b w:val="0"/>
          <w:color w:val="000000"/>
          <w:sz w:val="32"/>
          <w:szCs w:val="32"/>
        </w:rPr>
      </w:pPr>
      <w:bookmarkStart w:id="75" w:name="_Toc15396622"/>
      <w:r>
        <w:rPr>
          <w:rStyle w:val="28"/>
          <w:rFonts w:hint="eastAsia" w:ascii="仿宋_GB2312" w:hAnsi="仿宋_GB2312" w:eastAsia="仿宋_GB2312" w:cs="仿宋_GB2312"/>
          <w:b w:val="0"/>
          <w:bCs w:val="0"/>
          <w:sz w:val="32"/>
          <w:szCs w:val="32"/>
        </w:rPr>
        <w:t>四、</w:t>
      </w:r>
      <w:r>
        <w:rPr>
          <w:rFonts w:hint="eastAsia" w:ascii="仿宋_GB2312" w:hAnsi="仿宋_GB2312" w:eastAsia="仿宋_GB2312" w:cs="仿宋_GB2312"/>
          <w:b w:val="0"/>
          <w:color w:val="000000"/>
          <w:sz w:val="32"/>
          <w:szCs w:val="32"/>
        </w:rPr>
        <w:t>财</w:t>
      </w:r>
      <w:r>
        <w:rPr>
          <w:rStyle w:val="28"/>
          <w:rFonts w:hint="eastAsia" w:ascii="仿宋_GB2312" w:hAnsi="仿宋_GB2312" w:eastAsia="仿宋_GB2312" w:cs="仿宋_GB2312"/>
          <w:b w:val="0"/>
          <w:bCs w:val="0"/>
          <w:sz w:val="32"/>
          <w:szCs w:val="32"/>
        </w:rPr>
        <w:t>政拨款收入支出决算总表</w:t>
      </w:r>
      <w:bookmarkEnd w:id="75"/>
    </w:p>
    <w:p>
      <w:pPr>
        <w:pStyle w:val="4"/>
        <w:pageBreakBefore w:val="0"/>
        <w:widowControl w:val="0"/>
        <w:kinsoku/>
        <w:wordWrap/>
        <w:overflowPunct/>
        <w:topLinePunct w:val="0"/>
        <w:autoSpaceDE/>
        <w:autoSpaceDN/>
        <w:bidi w:val="0"/>
        <w:adjustRightInd w:val="0"/>
        <w:snapToGrid w:val="0"/>
        <w:spacing w:before="0" w:after="0" w:line="560" w:lineRule="exact"/>
        <w:textAlignment w:val="auto"/>
        <w:rPr>
          <w:rStyle w:val="28"/>
          <w:rFonts w:hint="eastAsia" w:ascii="仿宋_GB2312" w:hAnsi="仿宋_GB2312" w:eastAsia="仿宋_GB2312" w:cs="仿宋_GB2312"/>
          <w:b w:val="0"/>
          <w:bCs w:val="0"/>
          <w:sz w:val="32"/>
          <w:szCs w:val="32"/>
        </w:rPr>
      </w:pPr>
      <w:bookmarkStart w:id="76" w:name="_Toc15396623"/>
      <w:r>
        <w:rPr>
          <w:rStyle w:val="28"/>
          <w:rFonts w:hint="eastAsia" w:ascii="仿宋_GB2312" w:hAnsi="仿宋_GB2312" w:eastAsia="仿宋_GB2312" w:cs="仿宋_GB2312"/>
          <w:b w:val="0"/>
          <w:bCs w:val="0"/>
          <w:sz w:val="32"/>
          <w:szCs w:val="32"/>
        </w:rPr>
        <w:t>五、</w:t>
      </w:r>
      <w:r>
        <w:rPr>
          <w:rFonts w:hint="eastAsia" w:ascii="仿宋_GB2312" w:hAnsi="仿宋_GB2312" w:eastAsia="仿宋_GB2312" w:cs="仿宋_GB2312"/>
          <w:b w:val="0"/>
          <w:color w:val="000000"/>
          <w:sz w:val="32"/>
          <w:szCs w:val="32"/>
        </w:rPr>
        <w:t>财</w:t>
      </w:r>
      <w:r>
        <w:rPr>
          <w:rStyle w:val="28"/>
          <w:rFonts w:hint="eastAsia" w:ascii="仿宋_GB2312" w:hAnsi="仿宋_GB2312" w:eastAsia="仿宋_GB2312" w:cs="仿宋_GB2312"/>
          <w:b w:val="0"/>
          <w:bCs w:val="0"/>
          <w:sz w:val="32"/>
          <w:szCs w:val="32"/>
        </w:rPr>
        <w:t>政拨款支出决算明细表</w:t>
      </w:r>
      <w:bookmarkEnd w:id="76"/>
      <w:bookmarkStart w:id="77" w:name="_Toc15396624"/>
    </w:p>
    <w:p>
      <w:pPr>
        <w:pStyle w:val="4"/>
        <w:pageBreakBefore w:val="0"/>
        <w:widowControl w:val="0"/>
        <w:kinsoku/>
        <w:wordWrap/>
        <w:overflowPunct/>
        <w:topLinePunct w:val="0"/>
        <w:autoSpaceDE/>
        <w:autoSpaceDN/>
        <w:bidi w:val="0"/>
        <w:adjustRightInd w:val="0"/>
        <w:snapToGrid w:val="0"/>
        <w:spacing w:before="0" w:after="0" w:line="560" w:lineRule="exact"/>
        <w:textAlignment w:val="auto"/>
        <w:rPr>
          <w:rFonts w:hint="eastAsia" w:ascii="仿宋_GB2312" w:hAnsi="仿宋_GB2312" w:eastAsia="仿宋_GB2312" w:cs="仿宋_GB2312"/>
          <w:color w:val="000000"/>
          <w:sz w:val="32"/>
          <w:szCs w:val="32"/>
        </w:rPr>
      </w:pPr>
      <w:r>
        <w:rPr>
          <w:rStyle w:val="28"/>
          <w:rFonts w:hint="eastAsia" w:ascii="仿宋_GB2312" w:hAnsi="仿宋_GB2312" w:eastAsia="仿宋_GB2312" w:cs="仿宋_GB2312"/>
          <w:b w:val="0"/>
          <w:bCs w:val="0"/>
          <w:sz w:val="32"/>
          <w:szCs w:val="32"/>
        </w:rPr>
        <w:t>六、</w:t>
      </w:r>
      <w:r>
        <w:rPr>
          <w:rFonts w:hint="eastAsia" w:ascii="仿宋_GB2312" w:hAnsi="仿宋_GB2312" w:eastAsia="仿宋_GB2312" w:cs="仿宋_GB2312"/>
          <w:b w:val="0"/>
          <w:color w:val="000000"/>
          <w:sz w:val="32"/>
          <w:szCs w:val="32"/>
        </w:rPr>
        <w:t>一</w:t>
      </w:r>
      <w:r>
        <w:rPr>
          <w:rStyle w:val="28"/>
          <w:rFonts w:hint="eastAsia" w:ascii="仿宋_GB2312" w:hAnsi="仿宋_GB2312" w:eastAsia="仿宋_GB2312" w:cs="仿宋_GB2312"/>
          <w:b w:val="0"/>
          <w:bCs w:val="0"/>
          <w:sz w:val="32"/>
          <w:szCs w:val="32"/>
        </w:rPr>
        <w:t>般公共预算财政拨款支出决算表</w:t>
      </w:r>
      <w:bookmarkEnd w:id="77"/>
    </w:p>
    <w:p>
      <w:pPr>
        <w:pStyle w:val="4"/>
        <w:pageBreakBefore w:val="0"/>
        <w:widowControl w:val="0"/>
        <w:kinsoku/>
        <w:wordWrap/>
        <w:overflowPunct/>
        <w:topLinePunct w:val="0"/>
        <w:autoSpaceDE/>
        <w:autoSpaceDN/>
        <w:bidi w:val="0"/>
        <w:adjustRightInd w:val="0"/>
        <w:snapToGrid w:val="0"/>
        <w:spacing w:before="0" w:after="0" w:line="560" w:lineRule="exact"/>
        <w:textAlignment w:val="auto"/>
        <w:rPr>
          <w:rFonts w:hint="eastAsia" w:ascii="仿宋_GB2312" w:hAnsi="仿宋_GB2312" w:eastAsia="仿宋_GB2312" w:cs="仿宋_GB2312"/>
          <w:color w:val="000000"/>
          <w:sz w:val="32"/>
          <w:szCs w:val="32"/>
        </w:rPr>
      </w:pPr>
      <w:bookmarkStart w:id="78" w:name="_Toc15396625"/>
      <w:r>
        <w:rPr>
          <w:rStyle w:val="28"/>
          <w:rFonts w:hint="eastAsia" w:ascii="仿宋_GB2312" w:hAnsi="仿宋_GB2312" w:eastAsia="仿宋_GB2312" w:cs="仿宋_GB2312"/>
          <w:b w:val="0"/>
          <w:bCs w:val="0"/>
          <w:sz w:val="32"/>
          <w:szCs w:val="32"/>
        </w:rPr>
        <w:t>七、</w:t>
      </w:r>
      <w:r>
        <w:rPr>
          <w:rFonts w:hint="eastAsia" w:ascii="仿宋_GB2312" w:hAnsi="仿宋_GB2312" w:eastAsia="仿宋_GB2312" w:cs="仿宋_GB2312"/>
          <w:b w:val="0"/>
          <w:color w:val="000000"/>
          <w:sz w:val="32"/>
          <w:szCs w:val="32"/>
        </w:rPr>
        <w:t>一</w:t>
      </w:r>
      <w:r>
        <w:rPr>
          <w:rStyle w:val="28"/>
          <w:rFonts w:hint="eastAsia" w:ascii="仿宋_GB2312" w:hAnsi="仿宋_GB2312" w:eastAsia="仿宋_GB2312" w:cs="仿宋_GB2312"/>
          <w:b w:val="0"/>
          <w:bCs w:val="0"/>
          <w:sz w:val="32"/>
          <w:szCs w:val="32"/>
        </w:rPr>
        <w:t>般公共预算财政拨款支出决算明细表</w:t>
      </w:r>
      <w:bookmarkEnd w:id="78"/>
    </w:p>
    <w:p>
      <w:pPr>
        <w:pStyle w:val="4"/>
        <w:pageBreakBefore w:val="0"/>
        <w:widowControl w:val="0"/>
        <w:kinsoku/>
        <w:wordWrap/>
        <w:overflowPunct/>
        <w:topLinePunct w:val="0"/>
        <w:autoSpaceDE/>
        <w:autoSpaceDN/>
        <w:bidi w:val="0"/>
        <w:adjustRightInd w:val="0"/>
        <w:snapToGrid w:val="0"/>
        <w:spacing w:before="0" w:after="0" w:line="560" w:lineRule="exact"/>
        <w:textAlignment w:val="auto"/>
        <w:rPr>
          <w:rFonts w:hint="eastAsia" w:ascii="仿宋_GB2312" w:hAnsi="仿宋_GB2312" w:eastAsia="仿宋_GB2312" w:cs="仿宋_GB2312"/>
          <w:color w:val="000000"/>
          <w:sz w:val="32"/>
          <w:szCs w:val="32"/>
        </w:rPr>
      </w:pPr>
      <w:bookmarkStart w:id="79" w:name="_Toc15396626"/>
      <w:r>
        <w:rPr>
          <w:rStyle w:val="28"/>
          <w:rFonts w:hint="eastAsia" w:ascii="仿宋_GB2312" w:hAnsi="仿宋_GB2312" w:eastAsia="仿宋_GB2312" w:cs="仿宋_GB2312"/>
          <w:b w:val="0"/>
          <w:bCs w:val="0"/>
          <w:sz w:val="32"/>
          <w:szCs w:val="32"/>
        </w:rPr>
        <w:t>八、</w:t>
      </w:r>
      <w:r>
        <w:rPr>
          <w:rFonts w:hint="eastAsia" w:ascii="仿宋_GB2312" w:hAnsi="仿宋_GB2312" w:eastAsia="仿宋_GB2312" w:cs="仿宋_GB2312"/>
          <w:b w:val="0"/>
          <w:color w:val="000000"/>
          <w:sz w:val="32"/>
          <w:szCs w:val="32"/>
        </w:rPr>
        <w:t>一</w:t>
      </w:r>
      <w:r>
        <w:rPr>
          <w:rStyle w:val="28"/>
          <w:rFonts w:hint="eastAsia" w:ascii="仿宋_GB2312" w:hAnsi="仿宋_GB2312" w:eastAsia="仿宋_GB2312" w:cs="仿宋_GB2312"/>
          <w:b w:val="0"/>
          <w:bCs w:val="0"/>
          <w:sz w:val="32"/>
          <w:szCs w:val="32"/>
        </w:rPr>
        <w:t>般公共预算财政拨款基本支出决算表</w:t>
      </w:r>
      <w:bookmarkEnd w:id="79"/>
    </w:p>
    <w:p>
      <w:pPr>
        <w:pStyle w:val="4"/>
        <w:pageBreakBefore w:val="0"/>
        <w:widowControl w:val="0"/>
        <w:kinsoku/>
        <w:wordWrap/>
        <w:overflowPunct/>
        <w:topLinePunct w:val="0"/>
        <w:autoSpaceDE/>
        <w:autoSpaceDN/>
        <w:bidi w:val="0"/>
        <w:adjustRightInd w:val="0"/>
        <w:snapToGrid w:val="0"/>
        <w:spacing w:before="0" w:after="0" w:line="560" w:lineRule="exact"/>
        <w:textAlignment w:val="auto"/>
        <w:rPr>
          <w:rFonts w:hint="eastAsia" w:ascii="仿宋_GB2312" w:hAnsi="仿宋_GB2312" w:eastAsia="仿宋_GB2312" w:cs="仿宋_GB2312"/>
          <w:color w:val="000000"/>
          <w:sz w:val="32"/>
          <w:szCs w:val="32"/>
        </w:rPr>
      </w:pPr>
      <w:bookmarkStart w:id="80" w:name="_Toc15396627"/>
      <w:r>
        <w:rPr>
          <w:rStyle w:val="28"/>
          <w:rFonts w:hint="eastAsia" w:ascii="仿宋_GB2312" w:hAnsi="仿宋_GB2312" w:eastAsia="仿宋_GB2312" w:cs="仿宋_GB2312"/>
          <w:b w:val="0"/>
          <w:bCs w:val="0"/>
          <w:sz w:val="32"/>
          <w:szCs w:val="32"/>
        </w:rPr>
        <w:t>九、</w:t>
      </w:r>
      <w:r>
        <w:rPr>
          <w:rFonts w:hint="eastAsia" w:ascii="仿宋_GB2312" w:hAnsi="仿宋_GB2312" w:eastAsia="仿宋_GB2312" w:cs="仿宋_GB2312"/>
          <w:b w:val="0"/>
          <w:color w:val="000000"/>
          <w:sz w:val="32"/>
          <w:szCs w:val="32"/>
        </w:rPr>
        <w:t>一</w:t>
      </w:r>
      <w:r>
        <w:rPr>
          <w:rStyle w:val="28"/>
          <w:rFonts w:hint="eastAsia" w:ascii="仿宋_GB2312" w:hAnsi="仿宋_GB2312" w:eastAsia="仿宋_GB2312" w:cs="仿宋_GB2312"/>
          <w:b w:val="0"/>
          <w:bCs w:val="0"/>
          <w:sz w:val="32"/>
          <w:szCs w:val="32"/>
        </w:rPr>
        <w:t>般公共预算财政拨款项目支出决算表</w:t>
      </w:r>
      <w:bookmarkEnd w:id="80"/>
    </w:p>
    <w:p>
      <w:pPr>
        <w:pStyle w:val="4"/>
        <w:pageBreakBefore w:val="0"/>
        <w:widowControl w:val="0"/>
        <w:kinsoku/>
        <w:wordWrap/>
        <w:overflowPunct/>
        <w:topLinePunct w:val="0"/>
        <w:autoSpaceDE/>
        <w:autoSpaceDN/>
        <w:bidi w:val="0"/>
        <w:adjustRightInd w:val="0"/>
        <w:snapToGrid w:val="0"/>
        <w:spacing w:before="0" w:after="0" w:line="560" w:lineRule="exact"/>
        <w:textAlignment w:val="auto"/>
        <w:rPr>
          <w:rFonts w:hint="eastAsia" w:ascii="仿宋_GB2312" w:hAnsi="仿宋_GB2312" w:eastAsia="仿宋_GB2312" w:cs="仿宋_GB2312"/>
          <w:color w:val="000000"/>
          <w:sz w:val="32"/>
          <w:szCs w:val="32"/>
        </w:rPr>
      </w:pPr>
      <w:bookmarkStart w:id="81" w:name="_Toc15396628"/>
      <w:r>
        <w:rPr>
          <w:rStyle w:val="28"/>
          <w:rFonts w:hint="eastAsia" w:ascii="仿宋_GB2312" w:hAnsi="仿宋_GB2312" w:eastAsia="仿宋_GB2312" w:cs="仿宋_GB2312"/>
          <w:b w:val="0"/>
          <w:bCs w:val="0"/>
          <w:sz w:val="32"/>
          <w:szCs w:val="32"/>
        </w:rPr>
        <w:t>十、</w:t>
      </w:r>
      <w:r>
        <w:rPr>
          <w:rFonts w:hint="eastAsia" w:ascii="仿宋_GB2312" w:hAnsi="仿宋_GB2312" w:eastAsia="仿宋_GB2312" w:cs="仿宋_GB2312"/>
          <w:b w:val="0"/>
          <w:color w:val="000000"/>
          <w:sz w:val="32"/>
          <w:szCs w:val="32"/>
        </w:rPr>
        <w:t>一</w:t>
      </w:r>
      <w:r>
        <w:rPr>
          <w:rStyle w:val="28"/>
          <w:rFonts w:hint="eastAsia" w:ascii="仿宋_GB2312" w:hAnsi="仿宋_GB2312" w:eastAsia="仿宋_GB2312" w:cs="仿宋_GB2312"/>
          <w:b w:val="0"/>
          <w:bCs w:val="0"/>
          <w:sz w:val="32"/>
          <w:szCs w:val="32"/>
        </w:rPr>
        <w:t>般公共预算财政拨款“三公”经费支出决算表</w:t>
      </w:r>
      <w:bookmarkEnd w:id="81"/>
    </w:p>
    <w:p>
      <w:pPr>
        <w:pStyle w:val="4"/>
        <w:pageBreakBefore w:val="0"/>
        <w:widowControl w:val="0"/>
        <w:kinsoku/>
        <w:wordWrap/>
        <w:overflowPunct/>
        <w:topLinePunct w:val="0"/>
        <w:autoSpaceDE/>
        <w:autoSpaceDN/>
        <w:bidi w:val="0"/>
        <w:adjustRightInd w:val="0"/>
        <w:snapToGrid w:val="0"/>
        <w:spacing w:before="0" w:after="0" w:line="560" w:lineRule="exact"/>
        <w:textAlignment w:val="auto"/>
        <w:rPr>
          <w:rFonts w:hint="eastAsia" w:ascii="仿宋_GB2312" w:hAnsi="仿宋_GB2312" w:eastAsia="仿宋_GB2312" w:cs="仿宋_GB2312"/>
          <w:color w:val="000000"/>
          <w:sz w:val="32"/>
          <w:szCs w:val="32"/>
        </w:rPr>
      </w:pPr>
      <w:bookmarkStart w:id="82" w:name="_Toc15396629"/>
      <w:r>
        <w:rPr>
          <w:rStyle w:val="28"/>
          <w:rFonts w:hint="eastAsia" w:ascii="仿宋_GB2312" w:hAnsi="仿宋_GB2312" w:eastAsia="仿宋_GB2312" w:cs="仿宋_GB2312"/>
          <w:b w:val="0"/>
          <w:bCs w:val="0"/>
          <w:sz w:val="32"/>
          <w:szCs w:val="32"/>
        </w:rPr>
        <w:t>十一、</w:t>
      </w:r>
      <w:r>
        <w:rPr>
          <w:rFonts w:hint="eastAsia" w:ascii="仿宋_GB2312" w:hAnsi="仿宋_GB2312" w:eastAsia="仿宋_GB2312" w:cs="仿宋_GB2312"/>
          <w:b w:val="0"/>
          <w:color w:val="000000"/>
          <w:sz w:val="32"/>
          <w:szCs w:val="32"/>
        </w:rPr>
        <w:t>政</w:t>
      </w:r>
      <w:r>
        <w:rPr>
          <w:rStyle w:val="28"/>
          <w:rFonts w:hint="eastAsia" w:ascii="仿宋_GB2312" w:hAnsi="仿宋_GB2312" w:eastAsia="仿宋_GB2312" w:cs="仿宋_GB2312"/>
          <w:b w:val="0"/>
          <w:bCs w:val="0"/>
          <w:sz w:val="32"/>
          <w:szCs w:val="32"/>
        </w:rPr>
        <w:t>府性基金预算财政拨款收入支出决算表</w:t>
      </w:r>
      <w:bookmarkEnd w:id="82"/>
    </w:p>
    <w:p>
      <w:pPr>
        <w:pStyle w:val="4"/>
        <w:pageBreakBefore w:val="0"/>
        <w:widowControl w:val="0"/>
        <w:kinsoku/>
        <w:wordWrap/>
        <w:overflowPunct/>
        <w:topLinePunct w:val="0"/>
        <w:autoSpaceDE/>
        <w:autoSpaceDN/>
        <w:bidi w:val="0"/>
        <w:adjustRightInd w:val="0"/>
        <w:snapToGrid w:val="0"/>
        <w:spacing w:before="0" w:after="0" w:line="560" w:lineRule="exact"/>
        <w:textAlignment w:val="auto"/>
        <w:rPr>
          <w:rFonts w:hint="eastAsia" w:ascii="仿宋_GB2312" w:hAnsi="仿宋_GB2312" w:eastAsia="仿宋_GB2312" w:cs="仿宋_GB2312"/>
          <w:color w:val="000000"/>
          <w:sz w:val="32"/>
          <w:szCs w:val="32"/>
        </w:rPr>
      </w:pPr>
      <w:bookmarkStart w:id="83" w:name="_Toc15396630"/>
      <w:r>
        <w:rPr>
          <w:rStyle w:val="28"/>
          <w:rFonts w:hint="eastAsia" w:ascii="仿宋_GB2312" w:hAnsi="仿宋_GB2312" w:eastAsia="仿宋_GB2312" w:cs="仿宋_GB2312"/>
          <w:b w:val="0"/>
          <w:bCs w:val="0"/>
          <w:sz w:val="32"/>
          <w:szCs w:val="32"/>
        </w:rPr>
        <w:t>十二、</w:t>
      </w:r>
      <w:r>
        <w:rPr>
          <w:rFonts w:hint="eastAsia" w:ascii="仿宋_GB2312" w:hAnsi="仿宋_GB2312" w:eastAsia="仿宋_GB2312" w:cs="仿宋_GB2312"/>
          <w:b w:val="0"/>
          <w:color w:val="000000"/>
          <w:sz w:val="32"/>
          <w:szCs w:val="32"/>
        </w:rPr>
        <w:t>政</w:t>
      </w:r>
      <w:r>
        <w:rPr>
          <w:rStyle w:val="28"/>
          <w:rFonts w:hint="eastAsia" w:ascii="仿宋_GB2312" w:hAnsi="仿宋_GB2312" w:eastAsia="仿宋_GB2312" w:cs="仿宋_GB2312"/>
          <w:b w:val="0"/>
          <w:bCs w:val="0"/>
          <w:sz w:val="32"/>
          <w:szCs w:val="32"/>
        </w:rPr>
        <w:t>府性基金预算财政拨款“三公”经费支出决算表</w:t>
      </w:r>
      <w:bookmarkEnd w:id="83"/>
    </w:p>
    <w:p>
      <w:pPr>
        <w:pStyle w:val="4"/>
        <w:pageBreakBefore w:val="0"/>
        <w:widowControl w:val="0"/>
        <w:kinsoku/>
        <w:wordWrap/>
        <w:overflowPunct/>
        <w:topLinePunct w:val="0"/>
        <w:autoSpaceDE/>
        <w:autoSpaceDN/>
        <w:bidi w:val="0"/>
        <w:adjustRightInd w:val="0"/>
        <w:snapToGrid w:val="0"/>
        <w:spacing w:before="0" w:after="0" w:line="560" w:lineRule="exact"/>
        <w:textAlignment w:val="auto"/>
        <w:rPr>
          <w:rStyle w:val="28"/>
          <w:rFonts w:hint="eastAsia" w:ascii="仿宋_GB2312" w:hAnsi="仿宋_GB2312" w:eastAsia="仿宋_GB2312" w:cs="仿宋_GB2312"/>
          <w:b w:val="0"/>
          <w:bCs w:val="0"/>
          <w:sz w:val="32"/>
          <w:szCs w:val="32"/>
        </w:rPr>
      </w:pPr>
      <w:bookmarkStart w:id="84" w:name="_Toc15396631"/>
      <w:r>
        <w:rPr>
          <w:rStyle w:val="28"/>
          <w:rFonts w:hint="eastAsia" w:ascii="仿宋_GB2312" w:hAnsi="仿宋_GB2312" w:eastAsia="仿宋_GB2312" w:cs="仿宋_GB2312"/>
          <w:b w:val="0"/>
          <w:bCs w:val="0"/>
          <w:sz w:val="32"/>
          <w:szCs w:val="32"/>
        </w:rPr>
        <w:t>十三、</w:t>
      </w:r>
      <w:r>
        <w:rPr>
          <w:rFonts w:hint="eastAsia" w:ascii="仿宋_GB2312" w:hAnsi="仿宋_GB2312" w:eastAsia="仿宋_GB2312" w:cs="仿宋_GB2312"/>
          <w:b w:val="0"/>
          <w:color w:val="000000"/>
          <w:sz w:val="32"/>
          <w:szCs w:val="32"/>
        </w:rPr>
        <w:t>国</w:t>
      </w:r>
      <w:r>
        <w:rPr>
          <w:rStyle w:val="28"/>
          <w:rFonts w:hint="eastAsia" w:ascii="仿宋_GB2312" w:hAnsi="仿宋_GB2312" w:eastAsia="仿宋_GB2312" w:cs="仿宋_GB2312"/>
          <w:b w:val="0"/>
          <w:bCs w:val="0"/>
          <w:sz w:val="32"/>
          <w:szCs w:val="32"/>
        </w:rPr>
        <w:t>有资本经营预算</w:t>
      </w:r>
      <w:r>
        <w:rPr>
          <w:rStyle w:val="28"/>
          <w:rFonts w:hint="eastAsia" w:ascii="仿宋_GB2312" w:hAnsi="仿宋_GB2312" w:eastAsia="仿宋_GB2312" w:cs="仿宋_GB2312"/>
          <w:b w:val="0"/>
          <w:bCs w:val="0"/>
          <w:sz w:val="32"/>
          <w:szCs w:val="32"/>
          <w:lang w:eastAsia="zh-CN"/>
        </w:rPr>
        <w:t>财政拨款收入</w:t>
      </w:r>
      <w:r>
        <w:rPr>
          <w:rStyle w:val="28"/>
          <w:rFonts w:hint="eastAsia" w:ascii="仿宋_GB2312" w:hAnsi="仿宋_GB2312" w:eastAsia="仿宋_GB2312" w:cs="仿宋_GB2312"/>
          <w:b w:val="0"/>
          <w:bCs w:val="0"/>
          <w:sz w:val="32"/>
          <w:szCs w:val="32"/>
        </w:rPr>
        <w:t>支出决算表</w:t>
      </w:r>
      <w:bookmarkEnd w:id="84"/>
    </w:p>
    <w:p>
      <w:pPr>
        <w:pageBreakBefore w:val="0"/>
        <w:widowControl w:val="0"/>
        <w:kinsoku/>
        <w:wordWrap/>
        <w:overflowPunct/>
        <w:topLinePunct w:val="0"/>
        <w:autoSpaceDE/>
        <w:autoSpaceDN/>
        <w:bidi w:val="0"/>
        <w:adjustRightInd w:val="0"/>
        <w:snapToGrid w:val="0"/>
        <w:spacing w:line="560" w:lineRule="exact"/>
        <w:textAlignment w:val="auto"/>
        <w:rPr>
          <w:rStyle w:val="28"/>
          <w:rFonts w:hint="eastAsia" w:ascii="仿宋_GB2312" w:hAnsi="仿宋_GB2312" w:eastAsia="仿宋_GB2312" w:cs="仿宋_GB2312"/>
          <w:b w:val="0"/>
          <w:bCs w:val="0"/>
          <w:sz w:val="32"/>
          <w:szCs w:val="32"/>
          <w:lang w:eastAsia="zh-CN"/>
        </w:rPr>
      </w:pPr>
      <w:r>
        <w:rPr>
          <w:rStyle w:val="28"/>
          <w:rFonts w:hint="eastAsia" w:ascii="仿宋_GB2312" w:hAnsi="仿宋_GB2312" w:eastAsia="仿宋_GB2312" w:cs="仿宋_GB2312"/>
          <w:b w:val="0"/>
          <w:bCs w:val="0"/>
          <w:sz w:val="32"/>
          <w:szCs w:val="32"/>
          <w:lang w:eastAsia="zh-CN"/>
        </w:rPr>
        <w:t>十四、国有资本经营预算财政拨款支出决算表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75" w:beforeAutospacing="0" w:after="150" w:afterAutospacing="0" w:line="580" w:lineRule="exact"/>
        <w:ind w:left="0" w:right="0" w:firstLine="420"/>
        <w:jc w:val="left"/>
        <w:textAlignment w:val="auto"/>
        <w:rPr>
          <w:rStyle w:val="16"/>
          <w:rFonts w:hint="eastAsia" w:ascii="微软雅黑" w:hAnsi="微软雅黑" w:eastAsia="微软雅黑" w:cs="微软雅黑"/>
          <w:b/>
          <w:bCs/>
          <w:i w:val="0"/>
          <w:iCs w:val="0"/>
          <w:caps w:val="0"/>
          <w:color w:val="000000"/>
          <w:spacing w:val="15"/>
          <w:kern w:val="0"/>
          <w:sz w:val="30"/>
          <w:szCs w:val="30"/>
          <w:shd w:val="clear" w:fill="FFFFFF"/>
          <w:lang w:val="en-US" w:eastAsia="zh-CN" w:bidi="ar"/>
        </w:rPr>
      </w:pPr>
    </w:p>
    <w:sectPr>
      <w:headerReference r:id="rId3" w:type="default"/>
      <w:footerReference r:id="rId4" w:type="default"/>
      <w:pgSz w:w="11906" w:h="16838"/>
      <w:pgMar w:top="1984" w:right="1474" w:bottom="1984" w:left="1587" w:header="851" w:footer="992" w:gutter="0"/>
      <w:pgNumType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rPr>
            <w:rFonts w:hint="eastAsia"/>
            <w:lang w:eastAsia="zh-CN"/>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PAGE   \* MERGEFORMAT</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zh-CN"/>
          </w:rPr>
          <w:t>8</w:t>
        </w:r>
        <w:r>
          <w:rPr>
            <w:rFonts w:hint="default" w:ascii="Times New Roman" w:hAnsi="Times New Roman" w:cs="Times New Roman"/>
            <w:sz w:val="24"/>
            <w:szCs w:val="24"/>
          </w:rPr>
          <w:fldChar w:fldCharType="end"/>
        </w:r>
        <w:r>
          <w:rPr>
            <w:rFonts w:hint="eastAsia"/>
            <w:lang w:eastAsia="zh-CN"/>
          </w:rPr>
          <w:t>—</w:t>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5EE920"/>
    <w:multiLevelType w:val="singleLevel"/>
    <w:tmpl w:val="A35EE920"/>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33A7258F"/>
    <w:multiLevelType w:val="singleLevel"/>
    <w:tmpl w:val="33A7258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3623"/>
    <w:rsid w:val="0006487A"/>
    <w:rsid w:val="00065F8F"/>
    <w:rsid w:val="00070A43"/>
    <w:rsid w:val="000768F2"/>
    <w:rsid w:val="00090CF4"/>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C425A"/>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2023"/>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6D99"/>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6C5230"/>
    <w:rsid w:val="01D97202"/>
    <w:rsid w:val="01DF56A4"/>
    <w:rsid w:val="020E320A"/>
    <w:rsid w:val="02297609"/>
    <w:rsid w:val="02374D29"/>
    <w:rsid w:val="02610A77"/>
    <w:rsid w:val="027723F1"/>
    <w:rsid w:val="029D2C61"/>
    <w:rsid w:val="02E448C3"/>
    <w:rsid w:val="039B6D88"/>
    <w:rsid w:val="03A42856"/>
    <w:rsid w:val="03AD385C"/>
    <w:rsid w:val="0417137D"/>
    <w:rsid w:val="04CE3D1F"/>
    <w:rsid w:val="04EF6708"/>
    <w:rsid w:val="05094F23"/>
    <w:rsid w:val="056F5FD3"/>
    <w:rsid w:val="058F1A71"/>
    <w:rsid w:val="06012720"/>
    <w:rsid w:val="060162C5"/>
    <w:rsid w:val="063F74FA"/>
    <w:rsid w:val="0674647C"/>
    <w:rsid w:val="06B7215E"/>
    <w:rsid w:val="06C1749E"/>
    <w:rsid w:val="0738549D"/>
    <w:rsid w:val="074A12E9"/>
    <w:rsid w:val="0751056B"/>
    <w:rsid w:val="07C82BA6"/>
    <w:rsid w:val="07E868BD"/>
    <w:rsid w:val="08C52152"/>
    <w:rsid w:val="08CD1985"/>
    <w:rsid w:val="08E342CC"/>
    <w:rsid w:val="09557220"/>
    <w:rsid w:val="09676EB2"/>
    <w:rsid w:val="09B93C81"/>
    <w:rsid w:val="09EC2FD7"/>
    <w:rsid w:val="09F14654"/>
    <w:rsid w:val="0A2032A3"/>
    <w:rsid w:val="0A454B27"/>
    <w:rsid w:val="0A494F8E"/>
    <w:rsid w:val="0AB82C60"/>
    <w:rsid w:val="0AF502D8"/>
    <w:rsid w:val="0B017199"/>
    <w:rsid w:val="0B676C93"/>
    <w:rsid w:val="0B897B51"/>
    <w:rsid w:val="0BB64846"/>
    <w:rsid w:val="0BC8059C"/>
    <w:rsid w:val="0BD007DB"/>
    <w:rsid w:val="0BE20E6A"/>
    <w:rsid w:val="0BEB5BBE"/>
    <w:rsid w:val="0C394112"/>
    <w:rsid w:val="0C4C4293"/>
    <w:rsid w:val="0C5A1F19"/>
    <w:rsid w:val="0D2C08B5"/>
    <w:rsid w:val="0D6C600A"/>
    <w:rsid w:val="0E4F2C65"/>
    <w:rsid w:val="0F09045F"/>
    <w:rsid w:val="0F1B51F1"/>
    <w:rsid w:val="0F8C27CB"/>
    <w:rsid w:val="0F920255"/>
    <w:rsid w:val="0FCC0D11"/>
    <w:rsid w:val="100328E7"/>
    <w:rsid w:val="10C055FF"/>
    <w:rsid w:val="10EB1ED8"/>
    <w:rsid w:val="111765B5"/>
    <w:rsid w:val="11695010"/>
    <w:rsid w:val="118107EC"/>
    <w:rsid w:val="11964DB2"/>
    <w:rsid w:val="119D48FB"/>
    <w:rsid w:val="119F239A"/>
    <w:rsid w:val="11EF61D5"/>
    <w:rsid w:val="12215054"/>
    <w:rsid w:val="129A4FC9"/>
    <w:rsid w:val="12AC0D80"/>
    <w:rsid w:val="134D39A4"/>
    <w:rsid w:val="135B3D96"/>
    <w:rsid w:val="13606F59"/>
    <w:rsid w:val="142D0F36"/>
    <w:rsid w:val="144861E3"/>
    <w:rsid w:val="147D0563"/>
    <w:rsid w:val="14B2603C"/>
    <w:rsid w:val="156C6EBD"/>
    <w:rsid w:val="161A4712"/>
    <w:rsid w:val="16A37D1B"/>
    <w:rsid w:val="16BB723D"/>
    <w:rsid w:val="16F52188"/>
    <w:rsid w:val="17850BAF"/>
    <w:rsid w:val="17DC7314"/>
    <w:rsid w:val="1830651D"/>
    <w:rsid w:val="18521F34"/>
    <w:rsid w:val="189C405E"/>
    <w:rsid w:val="18C9167B"/>
    <w:rsid w:val="19003102"/>
    <w:rsid w:val="192E331C"/>
    <w:rsid w:val="1964283D"/>
    <w:rsid w:val="19747EB4"/>
    <w:rsid w:val="19AA2F17"/>
    <w:rsid w:val="19B80632"/>
    <w:rsid w:val="19CF4AA4"/>
    <w:rsid w:val="1A925AF3"/>
    <w:rsid w:val="1AE62AAE"/>
    <w:rsid w:val="1BE8440E"/>
    <w:rsid w:val="1C2F271A"/>
    <w:rsid w:val="1C413D38"/>
    <w:rsid w:val="1C686439"/>
    <w:rsid w:val="1CBB4F0D"/>
    <w:rsid w:val="1CCD74AF"/>
    <w:rsid w:val="1D0C7B7F"/>
    <w:rsid w:val="1D155CEE"/>
    <w:rsid w:val="1D176DDB"/>
    <w:rsid w:val="1D774968"/>
    <w:rsid w:val="1D7E6896"/>
    <w:rsid w:val="1D9B04C9"/>
    <w:rsid w:val="1DA00598"/>
    <w:rsid w:val="1DCA7EA7"/>
    <w:rsid w:val="1DE95407"/>
    <w:rsid w:val="1E235398"/>
    <w:rsid w:val="1F9C09D7"/>
    <w:rsid w:val="1FDD5E01"/>
    <w:rsid w:val="1FFA5CD7"/>
    <w:rsid w:val="202C3813"/>
    <w:rsid w:val="208310E4"/>
    <w:rsid w:val="20B23735"/>
    <w:rsid w:val="21004E76"/>
    <w:rsid w:val="2147765D"/>
    <w:rsid w:val="21E10FB9"/>
    <w:rsid w:val="21F05915"/>
    <w:rsid w:val="22061077"/>
    <w:rsid w:val="227305C2"/>
    <w:rsid w:val="22752E66"/>
    <w:rsid w:val="23062201"/>
    <w:rsid w:val="23654A3D"/>
    <w:rsid w:val="237D2A44"/>
    <w:rsid w:val="23B2764D"/>
    <w:rsid w:val="23EE2FF4"/>
    <w:rsid w:val="23F70186"/>
    <w:rsid w:val="240371BF"/>
    <w:rsid w:val="243943CC"/>
    <w:rsid w:val="250B3EAD"/>
    <w:rsid w:val="257845A3"/>
    <w:rsid w:val="2596772E"/>
    <w:rsid w:val="259E1B00"/>
    <w:rsid w:val="25A369E9"/>
    <w:rsid w:val="25E340FF"/>
    <w:rsid w:val="26447C92"/>
    <w:rsid w:val="26DD13F6"/>
    <w:rsid w:val="26DD6441"/>
    <w:rsid w:val="26F92C70"/>
    <w:rsid w:val="273A74A1"/>
    <w:rsid w:val="277A0BF2"/>
    <w:rsid w:val="27885770"/>
    <w:rsid w:val="27BA63E9"/>
    <w:rsid w:val="288D63C1"/>
    <w:rsid w:val="28BC3B3E"/>
    <w:rsid w:val="28D54FD8"/>
    <w:rsid w:val="28DA6FC5"/>
    <w:rsid w:val="290A2CC7"/>
    <w:rsid w:val="29462DFB"/>
    <w:rsid w:val="299D3953"/>
    <w:rsid w:val="29D27BF7"/>
    <w:rsid w:val="29FD04D3"/>
    <w:rsid w:val="2A166C50"/>
    <w:rsid w:val="2A4B07FB"/>
    <w:rsid w:val="2A663437"/>
    <w:rsid w:val="2A80295C"/>
    <w:rsid w:val="2A813133"/>
    <w:rsid w:val="2AB22CC1"/>
    <w:rsid w:val="2AC322D7"/>
    <w:rsid w:val="2AE62B16"/>
    <w:rsid w:val="2B062627"/>
    <w:rsid w:val="2B5E0741"/>
    <w:rsid w:val="2B650295"/>
    <w:rsid w:val="2BC904D3"/>
    <w:rsid w:val="2BF97794"/>
    <w:rsid w:val="2C2D1E98"/>
    <w:rsid w:val="2C5D221C"/>
    <w:rsid w:val="2C8B530E"/>
    <w:rsid w:val="2C922A7D"/>
    <w:rsid w:val="2CD17B9E"/>
    <w:rsid w:val="2DF7273A"/>
    <w:rsid w:val="2E0F1A8D"/>
    <w:rsid w:val="2E3042CF"/>
    <w:rsid w:val="2E677A7E"/>
    <w:rsid w:val="2E812F8B"/>
    <w:rsid w:val="2EC50DCA"/>
    <w:rsid w:val="2F7444A5"/>
    <w:rsid w:val="2FA472BE"/>
    <w:rsid w:val="2FD02B4B"/>
    <w:rsid w:val="30394DD5"/>
    <w:rsid w:val="30B831A5"/>
    <w:rsid w:val="30CA61EE"/>
    <w:rsid w:val="310536C1"/>
    <w:rsid w:val="3124539F"/>
    <w:rsid w:val="312D1B2F"/>
    <w:rsid w:val="319F7F4E"/>
    <w:rsid w:val="31D63A88"/>
    <w:rsid w:val="31DF488C"/>
    <w:rsid w:val="326B64CB"/>
    <w:rsid w:val="32A661F4"/>
    <w:rsid w:val="32AA753A"/>
    <w:rsid w:val="331A369F"/>
    <w:rsid w:val="33547C94"/>
    <w:rsid w:val="33C972EB"/>
    <w:rsid w:val="341E0268"/>
    <w:rsid w:val="34246D46"/>
    <w:rsid w:val="3425128E"/>
    <w:rsid w:val="34317D71"/>
    <w:rsid w:val="348B7AA3"/>
    <w:rsid w:val="34DC3F62"/>
    <w:rsid w:val="34E32BBD"/>
    <w:rsid w:val="34F71DA8"/>
    <w:rsid w:val="357A5AA7"/>
    <w:rsid w:val="36044AA1"/>
    <w:rsid w:val="36654015"/>
    <w:rsid w:val="367A46F2"/>
    <w:rsid w:val="36B04D5F"/>
    <w:rsid w:val="37B14237"/>
    <w:rsid w:val="38823841"/>
    <w:rsid w:val="38982C80"/>
    <w:rsid w:val="38B03935"/>
    <w:rsid w:val="38CE76CB"/>
    <w:rsid w:val="38D61111"/>
    <w:rsid w:val="39007FC9"/>
    <w:rsid w:val="393A5728"/>
    <w:rsid w:val="398A2DAA"/>
    <w:rsid w:val="39D37385"/>
    <w:rsid w:val="39FC2478"/>
    <w:rsid w:val="3A0C0864"/>
    <w:rsid w:val="3A386077"/>
    <w:rsid w:val="3A5759EE"/>
    <w:rsid w:val="3A6A2B30"/>
    <w:rsid w:val="3A6F7CA9"/>
    <w:rsid w:val="3ABA2E98"/>
    <w:rsid w:val="3B3B2561"/>
    <w:rsid w:val="3B586663"/>
    <w:rsid w:val="3B70132B"/>
    <w:rsid w:val="3B9D411A"/>
    <w:rsid w:val="3BF465E4"/>
    <w:rsid w:val="3C8F69BE"/>
    <w:rsid w:val="3D3C1244"/>
    <w:rsid w:val="3D594136"/>
    <w:rsid w:val="3D5D1EEC"/>
    <w:rsid w:val="3DCF174D"/>
    <w:rsid w:val="3DEF6688"/>
    <w:rsid w:val="3E1578B0"/>
    <w:rsid w:val="3FFE5970"/>
    <w:rsid w:val="401363C8"/>
    <w:rsid w:val="403F70E4"/>
    <w:rsid w:val="40790579"/>
    <w:rsid w:val="40B84810"/>
    <w:rsid w:val="4158517D"/>
    <w:rsid w:val="416040E1"/>
    <w:rsid w:val="41B50487"/>
    <w:rsid w:val="421F124D"/>
    <w:rsid w:val="42D942AB"/>
    <w:rsid w:val="42DB3B0F"/>
    <w:rsid w:val="42DF0FB0"/>
    <w:rsid w:val="431B3C7D"/>
    <w:rsid w:val="432D5D26"/>
    <w:rsid w:val="43302075"/>
    <w:rsid w:val="433B7020"/>
    <w:rsid w:val="438651EA"/>
    <w:rsid w:val="43C6711F"/>
    <w:rsid w:val="43F857C6"/>
    <w:rsid w:val="44562C7C"/>
    <w:rsid w:val="44572637"/>
    <w:rsid w:val="446D6C20"/>
    <w:rsid w:val="44FA42CF"/>
    <w:rsid w:val="451F2CCD"/>
    <w:rsid w:val="453C010B"/>
    <w:rsid w:val="45EA0584"/>
    <w:rsid w:val="45F743E2"/>
    <w:rsid w:val="460A7787"/>
    <w:rsid w:val="46462D68"/>
    <w:rsid w:val="467A7A27"/>
    <w:rsid w:val="46943EE1"/>
    <w:rsid w:val="4698353E"/>
    <w:rsid w:val="46BC68DC"/>
    <w:rsid w:val="46D30763"/>
    <w:rsid w:val="46F31622"/>
    <w:rsid w:val="470C5BB7"/>
    <w:rsid w:val="47386626"/>
    <w:rsid w:val="474F5D54"/>
    <w:rsid w:val="477E2647"/>
    <w:rsid w:val="485F50A4"/>
    <w:rsid w:val="488C1D9C"/>
    <w:rsid w:val="48935603"/>
    <w:rsid w:val="4928056E"/>
    <w:rsid w:val="495A4168"/>
    <w:rsid w:val="4A6202FC"/>
    <w:rsid w:val="4A7F3FF9"/>
    <w:rsid w:val="4AC31F57"/>
    <w:rsid w:val="4BCD3B6B"/>
    <w:rsid w:val="4BD6149E"/>
    <w:rsid w:val="4BE068DB"/>
    <w:rsid w:val="4BE77227"/>
    <w:rsid w:val="4C795E0C"/>
    <w:rsid w:val="4C9F2B12"/>
    <w:rsid w:val="4D6830FC"/>
    <w:rsid w:val="4D717588"/>
    <w:rsid w:val="4D895B46"/>
    <w:rsid w:val="4D8A195A"/>
    <w:rsid w:val="4D9C3545"/>
    <w:rsid w:val="4E12096E"/>
    <w:rsid w:val="4E4B2D46"/>
    <w:rsid w:val="4E9A7D92"/>
    <w:rsid w:val="4ECE2238"/>
    <w:rsid w:val="4EE77FCC"/>
    <w:rsid w:val="4F043A85"/>
    <w:rsid w:val="4F541A02"/>
    <w:rsid w:val="4F8216C2"/>
    <w:rsid w:val="50266F93"/>
    <w:rsid w:val="506849D2"/>
    <w:rsid w:val="513242FF"/>
    <w:rsid w:val="513A4F1A"/>
    <w:rsid w:val="51512E07"/>
    <w:rsid w:val="51A92C2F"/>
    <w:rsid w:val="51C760CF"/>
    <w:rsid w:val="52425DA4"/>
    <w:rsid w:val="52F02AD3"/>
    <w:rsid w:val="532C6EBC"/>
    <w:rsid w:val="537274C0"/>
    <w:rsid w:val="537E1F06"/>
    <w:rsid w:val="539A0F31"/>
    <w:rsid w:val="53F708DB"/>
    <w:rsid w:val="54463996"/>
    <w:rsid w:val="54661233"/>
    <w:rsid w:val="54885AF7"/>
    <w:rsid w:val="54D66427"/>
    <w:rsid w:val="54E03D02"/>
    <w:rsid w:val="55483728"/>
    <w:rsid w:val="555412BA"/>
    <w:rsid w:val="557C59B9"/>
    <w:rsid w:val="559775C6"/>
    <w:rsid w:val="560E0098"/>
    <w:rsid w:val="569D614D"/>
    <w:rsid w:val="57523C8E"/>
    <w:rsid w:val="57800353"/>
    <w:rsid w:val="57850E25"/>
    <w:rsid w:val="583542D8"/>
    <w:rsid w:val="583F0F95"/>
    <w:rsid w:val="58494DDA"/>
    <w:rsid w:val="58D67E95"/>
    <w:rsid w:val="593E265E"/>
    <w:rsid w:val="596834C0"/>
    <w:rsid w:val="59774EF3"/>
    <w:rsid w:val="5A2D68EB"/>
    <w:rsid w:val="5A6F0275"/>
    <w:rsid w:val="5AA3414E"/>
    <w:rsid w:val="5B1620B2"/>
    <w:rsid w:val="5C250C7A"/>
    <w:rsid w:val="5CB04C53"/>
    <w:rsid w:val="5D622814"/>
    <w:rsid w:val="5D6E6840"/>
    <w:rsid w:val="5E020AD5"/>
    <w:rsid w:val="5E0F591D"/>
    <w:rsid w:val="5E302F2F"/>
    <w:rsid w:val="5E38285F"/>
    <w:rsid w:val="5E5B7468"/>
    <w:rsid w:val="5EFD66E6"/>
    <w:rsid w:val="5FE01EAB"/>
    <w:rsid w:val="60C81218"/>
    <w:rsid w:val="60C82DEF"/>
    <w:rsid w:val="61107FB3"/>
    <w:rsid w:val="611D567B"/>
    <w:rsid w:val="615F014E"/>
    <w:rsid w:val="618576DE"/>
    <w:rsid w:val="61D93BAB"/>
    <w:rsid w:val="62C97AE5"/>
    <w:rsid w:val="63281E5B"/>
    <w:rsid w:val="634D69B4"/>
    <w:rsid w:val="63582FE4"/>
    <w:rsid w:val="63963AD7"/>
    <w:rsid w:val="63AE1831"/>
    <w:rsid w:val="643C5E4F"/>
    <w:rsid w:val="64563FD8"/>
    <w:rsid w:val="64A7654A"/>
    <w:rsid w:val="64A8060F"/>
    <w:rsid w:val="64BA7E9E"/>
    <w:rsid w:val="64E96F44"/>
    <w:rsid w:val="650A407E"/>
    <w:rsid w:val="652C6BDC"/>
    <w:rsid w:val="65986DE0"/>
    <w:rsid w:val="66430B26"/>
    <w:rsid w:val="66793C29"/>
    <w:rsid w:val="66B830E8"/>
    <w:rsid w:val="67451165"/>
    <w:rsid w:val="67A31C97"/>
    <w:rsid w:val="67F73A40"/>
    <w:rsid w:val="67FE3920"/>
    <w:rsid w:val="68222F0E"/>
    <w:rsid w:val="6854461B"/>
    <w:rsid w:val="686A2EB4"/>
    <w:rsid w:val="688A609B"/>
    <w:rsid w:val="68990D36"/>
    <w:rsid w:val="69122946"/>
    <w:rsid w:val="69163465"/>
    <w:rsid w:val="694B17DF"/>
    <w:rsid w:val="697A6CE7"/>
    <w:rsid w:val="69813F78"/>
    <w:rsid w:val="6A07277F"/>
    <w:rsid w:val="6A11658D"/>
    <w:rsid w:val="6A1C1E6E"/>
    <w:rsid w:val="6A4428FE"/>
    <w:rsid w:val="6A9527E7"/>
    <w:rsid w:val="6AB36EC4"/>
    <w:rsid w:val="6AF422EE"/>
    <w:rsid w:val="6B33561F"/>
    <w:rsid w:val="6B3D1221"/>
    <w:rsid w:val="6B5E7198"/>
    <w:rsid w:val="6C0C64C9"/>
    <w:rsid w:val="6C4A05C8"/>
    <w:rsid w:val="6C6C64A9"/>
    <w:rsid w:val="6D547ED4"/>
    <w:rsid w:val="6D703FFF"/>
    <w:rsid w:val="6DD37FFF"/>
    <w:rsid w:val="6DEE22DE"/>
    <w:rsid w:val="6DF54E1A"/>
    <w:rsid w:val="6E904835"/>
    <w:rsid w:val="6F1B5639"/>
    <w:rsid w:val="6F384A67"/>
    <w:rsid w:val="6F9C0F2E"/>
    <w:rsid w:val="6FD217C3"/>
    <w:rsid w:val="6FFE060E"/>
    <w:rsid w:val="701506DC"/>
    <w:rsid w:val="70822504"/>
    <w:rsid w:val="70951DAE"/>
    <w:rsid w:val="70C50614"/>
    <w:rsid w:val="70DE4456"/>
    <w:rsid w:val="71670D67"/>
    <w:rsid w:val="71E132E8"/>
    <w:rsid w:val="71FD4407"/>
    <w:rsid w:val="724E3397"/>
    <w:rsid w:val="7265110B"/>
    <w:rsid w:val="72734D90"/>
    <w:rsid w:val="7284620A"/>
    <w:rsid w:val="730D3C14"/>
    <w:rsid w:val="736E3855"/>
    <w:rsid w:val="73B76A10"/>
    <w:rsid w:val="73EC0543"/>
    <w:rsid w:val="73F22F27"/>
    <w:rsid w:val="740A222A"/>
    <w:rsid w:val="74316B6F"/>
    <w:rsid w:val="747E4AAA"/>
    <w:rsid w:val="75562F73"/>
    <w:rsid w:val="756E6A87"/>
    <w:rsid w:val="757C6D8E"/>
    <w:rsid w:val="76862E15"/>
    <w:rsid w:val="76C35F99"/>
    <w:rsid w:val="76D23968"/>
    <w:rsid w:val="76E43881"/>
    <w:rsid w:val="77867966"/>
    <w:rsid w:val="78F95D97"/>
    <w:rsid w:val="79057CC6"/>
    <w:rsid w:val="79350A54"/>
    <w:rsid w:val="794F071E"/>
    <w:rsid w:val="795C3C08"/>
    <w:rsid w:val="797377BC"/>
    <w:rsid w:val="7984064E"/>
    <w:rsid w:val="7A13247B"/>
    <w:rsid w:val="7A2541E3"/>
    <w:rsid w:val="7A351E37"/>
    <w:rsid w:val="7A725A4C"/>
    <w:rsid w:val="7B3532F0"/>
    <w:rsid w:val="7B6D3FE8"/>
    <w:rsid w:val="7B942CA1"/>
    <w:rsid w:val="7BF82F26"/>
    <w:rsid w:val="7C51267D"/>
    <w:rsid w:val="7D720140"/>
    <w:rsid w:val="7D721180"/>
    <w:rsid w:val="7DE41319"/>
    <w:rsid w:val="7E011211"/>
    <w:rsid w:val="7E057930"/>
    <w:rsid w:val="7E221992"/>
    <w:rsid w:val="7EAB6723"/>
    <w:rsid w:val="7ED33653"/>
    <w:rsid w:val="7F772D3C"/>
    <w:rsid w:val="7F901C24"/>
    <w:rsid w:val="7F976B45"/>
    <w:rsid w:val="7FA30C79"/>
    <w:rsid w:val="7FEC262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30"/>
    <w:semiHidden/>
    <w:unhideWhenUsed/>
    <w:qFormat/>
    <w:uiPriority w:val="99"/>
    <w:rPr>
      <w:sz w:val="18"/>
      <w:szCs w:val="18"/>
    </w:rPr>
  </w:style>
  <w:style w:type="paragraph" w:styleId="8">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4">
    <w:name w:val="Table Grid"/>
    <w:basedOn w:val="13"/>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99"/>
    <w:rPr>
      <w:b/>
    </w:rPr>
  </w:style>
  <w:style w:type="character" w:styleId="17">
    <w:name w:val="page number"/>
    <w:basedOn w:val="15"/>
    <w:qFormat/>
    <w:uiPriority w:val="0"/>
  </w:style>
  <w:style w:type="character" w:styleId="18">
    <w:name w:val="Hyperlink"/>
    <w:basedOn w:val="15"/>
    <w:unhideWhenUsed/>
    <w:qFormat/>
    <w:uiPriority w:val="99"/>
    <w:rPr>
      <w:color w:val="0000FF" w:themeColor="hyperlink"/>
      <w:u w:val="single"/>
      <w14:textFill>
        <w14:solidFill>
          <w14:schemeClr w14:val="hlink"/>
        </w14:solidFill>
      </w14:textFill>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Char"/>
    <w:link w:val="9"/>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Char"/>
    <w:link w:val="8"/>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Char"/>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5"/>
    <w:link w:val="3"/>
    <w:qFormat/>
    <w:uiPriority w:val="9"/>
    <w:rPr>
      <w:rFonts w:ascii="Times New Roman" w:hAnsi="Times New Roman"/>
      <w:b/>
      <w:bCs/>
      <w:kern w:val="44"/>
      <w:sz w:val="44"/>
      <w:szCs w:val="44"/>
    </w:rPr>
  </w:style>
  <w:style w:type="character" w:customStyle="1" w:styleId="28">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5"/>
    <w:link w:val="7"/>
    <w:semiHidden/>
    <w:qFormat/>
    <w:uiPriority w:val="99"/>
    <w:rPr>
      <w:rFonts w:ascii="Times New Roman" w:hAnsi="Times New Roman"/>
      <w:kern w:val="2"/>
      <w:sz w:val="18"/>
      <w:szCs w:val="18"/>
    </w:rPr>
  </w:style>
  <w:style w:type="character" w:customStyle="1" w:styleId="31">
    <w:name w:val="标题 3 Char"/>
    <w:basedOn w:val="15"/>
    <w:link w:val="5"/>
    <w:qFormat/>
    <w:uiPriority w:val="9"/>
    <w:rPr>
      <w:rFonts w:ascii="Times New Roman" w:hAnsi="Times New Roman"/>
      <w:b/>
      <w:bCs/>
      <w:kern w:val="2"/>
      <w:sz w:val="32"/>
      <w:szCs w:val="32"/>
    </w:rPr>
  </w:style>
  <w:style w:type="paragraph" w:customStyle="1" w:styleId="32">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font21"/>
    <w:basedOn w:val="1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G:\&#39286;&#23591;&#23591;\&#24037;&#20316;\&#36130;&#21153;&#32479;&#35745;&#22788;\&#19994;&#21153;&#24037;&#20316;\&#36130;&#21153;&#24037;&#20316;\&#37096;&#38376;&#39044;&#20915;&#31639;\&#37096;&#38376;&#20915;&#31639;\2020&#24180;&#24230;\2020&#24180;&#20915;&#31639;&#20844;&#24320;&#65288;&#37096;&#20998;&#65289;\&#32534;&#21046;&#35828;&#26126;&#30340;&#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G:\&#39286;&#23591;&#23591;\&#24037;&#20316;\&#36130;&#21153;&#32479;&#35745;&#22788;\&#19994;&#21153;&#24037;&#20316;\&#36130;&#21153;&#24037;&#20316;\&#37096;&#38376;&#39044;&#20915;&#31639;\&#37096;&#38376;&#20915;&#31639;\2020&#24180;&#24230;\2020&#24180;&#20915;&#31639;&#20844;&#24320;&#65288;&#37096;&#20998;&#65289;\&#32534;&#21046;&#35828;&#26126;&#30340;&#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G:\&#39286;&#23591;&#23591;\&#24037;&#20316;\&#36130;&#21153;&#32479;&#35745;&#22788;\&#19994;&#21153;&#24037;&#20316;\&#36130;&#21153;&#24037;&#20316;\&#37096;&#38376;&#39044;&#20915;&#31639;\&#37096;&#38376;&#20915;&#31639;\2020&#24180;&#24230;\2020&#24180;&#20915;&#31639;&#20844;&#24320;&#65288;&#37096;&#20998;&#65289;\&#32534;&#21046;&#35828;&#26126;&#30340;&#2227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G:\&#39286;&#23591;&#23591;\&#24037;&#20316;\&#36130;&#21153;&#32479;&#35745;&#22788;\&#19994;&#21153;&#24037;&#20316;\&#36130;&#21153;&#24037;&#20316;\&#37096;&#38376;&#39044;&#20915;&#31639;\&#37096;&#38376;&#20915;&#31639;\2020&#24180;&#24230;\2020&#24180;&#20915;&#31639;&#20844;&#24320;&#65288;&#37096;&#20998;&#65289;\&#32534;&#21046;&#35828;&#26126;&#30340;&#2227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G:\&#39286;&#23591;&#23591;\&#24037;&#20316;\&#36130;&#21153;&#32479;&#35745;&#22788;\&#19994;&#21153;&#24037;&#20316;\&#36130;&#21153;&#24037;&#20316;\&#37096;&#38376;&#39044;&#20915;&#31639;\&#37096;&#38376;&#20915;&#31639;\2020&#24180;&#24230;\2020&#24180;&#20915;&#31639;&#20844;&#24320;&#65288;&#37096;&#20998;&#65289;\&#32534;&#21046;&#35828;&#26126;&#30340;&#2227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G:\&#39286;&#23591;&#23591;\&#24037;&#20316;\&#36130;&#21153;&#32479;&#35745;&#22788;\&#19994;&#21153;&#24037;&#20316;\&#36130;&#21153;&#24037;&#20316;\&#37096;&#38376;&#39044;&#20915;&#31639;\&#37096;&#38376;&#20915;&#31639;\2020&#24180;&#24230;\2020&#24180;&#20915;&#31639;&#20844;&#24320;&#65288;&#37096;&#20998;&#65289;\&#32534;&#21046;&#35828;&#26126;&#30340;&#2227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G:\&#39286;&#23591;&#23591;\&#24037;&#20316;\&#36130;&#21153;&#32479;&#35745;&#22788;\&#19994;&#21153;&#24037;&#20316;\&#36130;&#21153;&#24037;&#20316;\&#37096;&#38376;&#39044;&#20915;&#31639;\&#37096;&#38376;&#20915;&#31639;\2020&#24180;&#24230;\2020&#24180;&#20915;&#31639;&#20844;&#24320;&#65288;&#37096;&#20998;&#65289;\&#32534;&#21046;&#35828;&#26126;&#30340;&#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a:solidFill>
                  <a:schemeClr val="tx1"/>
                </a:solidFill>
              </a:rPr>
              <a:t>收、支决算总计变动情况图</a:t>
            </a:r>
            <a:endParaRPr>
              <a:solidFill>
                <a:schemeClr val="tx1"/>
              </a:solidFill>
            </a:endParaRPr>
          </a:p>
        </c:rich>
      </c:tx>
      <c:layout>
        <c:manualLayout>
          <c:xMode val="edge"/>
          <c:yMode val="edge"/>
          <c:x val="0.305329806507493"/>
          <c:y val="0.033679282060077"/>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[编制说明的图.xlsx]Sheet3!$B$3:$B$4</c:f>
              <c:strCache>
                <c:ptCount val="2"/>
                <c:pt idx="0">
                  <c:v>2019年</c:v>
                </c:pt>
                <c:pt idx="1">
                  <c:v>2020年</c:v>
                </c:pt>
              </c:strCache>
            </c:strRef>
          </c:cat>
          <c:val>
            <c:numRef>
              <c:f>[编制说明的图.xlsx]Sheet3!$C$3:$C$4</c:f>
              <c:numCache>
                <c:formatCode>General</c:formatCode>
                <c:ptCount val="2"/>
                <c:pt idx="0">
                  <c:v>16153.95</c:v>
                </c:pt>
                <c:pt idx="1">
                  <c:v>14027.52</c:v>
                </c:pt>
              </c:numCache>
            </c:numRef>
          </c:val>
        </c:ser>
        <c:dLbls>
          <c:showLegendKey val="0"/>
          <c:showVal val="1"/>
          <c:showCatName val="0"/>
          <c:showSerName val="0"/>
          <c:showPercent val="0"/>
          <c:showBubbleSize val="0"/>
        </c:dLbls>
        <c:gapWidth val="150"/>
        <c:overlap val="0"/>
        <c:axId val="285503241"/>
        <c:axId val="646070489"/>
      </c:barChart>
      <c:catAx>
        <c:axId val="28550324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6070489"/>
        <c:crosses val="autoZero"/>
        <c:auto val="1"/>
        <c:lblAlgn val="ctr"/>
        <c:lblOffset val="100"/>
        <c:noMultiLvlLbl val="0"/>
      </c:catAx>
      <c:valAx>
        <c:axId val="64607048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5503241"/>
        <c:crosses val="autoZero"/>
        <c:crossBetween val="between"/>
      </c:valAx>
      <c:spPr>
        <a:noFill/>
        <a:ln>
          <a:noFill/>
        </a:ln>
        <a:effectLst/>
      </c:spPr>
    </c:plotArea>
    <c:plotVisOnly val="1"/>
    <c:dispBlanksAs val="gap"/>
    <c:showDLblsOverMax val="0"/>
  </c:chart>
  <c:spPr>
    <a:solidFill>
      <a:schemeClr val="bg1"/>
    </a:solidFill>
    <a:ln w="12700" cap="flat" cmpd="sng" algn="ctr">
      <a:solidFill>
        <a:schemeClr val="tx1"/>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solidFill>
                  <a:schemeClr val="tx1"/>
                </a:solidFill>
              </a:rPr>
              <a:t>收入决算结构图</a:t>
            </a:r>
            <a:endParaRPr>
              <a:solidFill>
                <a:schemeClr val="tx1"/>
              </a:solidFill>
            </a:endParaRPr>
          </a:p>
        </c:rich>
      </c:tx>
      <c:layout/>
      <c:overlay val="0"/>
      <c:spPr>
        <a:noFill/>
        <a:ln w="12700" cmpd="sng">
          <a:noFill/>
          <a:prstDash val="solid"/>
        </a:ln>
        <a:effectLst/>
      </c:spPr>
    </c:title>
    <c:autoTitleDeleted val="0"/>
    <c:plotArea>
      <c:layout/>
      <c:pieChart>
        <c:varyColors val="1"/>
        <c:ser>
          <c:idx val="0"/>
          <c:order val="0"/>
          <c:spPr/>
          <c:explosion val="0"/>
          <c:dPt>
            <c:idx val="0"/>
            <c:bubble3D val="0"/>
            <c:explosion val="1"/>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1"/>
              <c:layout>
                <c:manualLayout>
                  <c:x val="-0.0486302568211249"/>
                  <c:y val="0.0160401011507781"/>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0.0514878892733564"/>
                      <c:h val="0.0529217199558986"/>
                    </c:manualLayout>
                  </c15:layout>
                </c:ext>
              </c:extLst>
            </c:dLbl>
            <c:dLbl>
              <c:idx val="2"/>
              <c:layout>
                <c:manualLayout>
                  <c:x val="0.0647756719350908"/>
                  <c:y val="0.027442116865282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[编制说明的图.xlsx]Sheet2!$A$4:$A$6</c:f>
              <c:strCache>
                <c:ptCount val="3"/>
                <c:pt idx="0">
                  <c:v>一般公共预算财政拨款收入</c:v>
                </c:pt>
                <c:pt idx="1">
                  <c:v>事业收入</c:v>
                </c:pt>
                <c:pt idx="2">
                  <c:v>其他收入</c:v>
                </c:pt>
              </c:strCache>
            </c:strRef>
          </c:cat>
          <c:val>
            <c:numRef>
              <c:f>[编制说明的图.xlsx]Sheet2!$B$4:$B$6</c:f>
              <c:numCache>
                <c:formatCode>General</c:formatCode>
                <c:ptCount val="3"/>
                <c:pt idx="0">
                  <c:v>13747.48</c:v>
                </c:pt>
                <c:pt idx="1">
                  <c:v>280</c:v>
                </c:pt>
                <c:pt idx="2">
                  <c:v>0.04</c:v>
                </c:pt>
              </c:numCache>
            </c:numRef>
          </c:val>
        </c:ser>
        <c:ser>
          <c:idx val="1"/>
          <c:order val="1"/>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[编制说明的图.xlsx]Sheet2!$A$4:$A$6</c:f>
              <c:strCache>
                <c:ptCount val="3"/>
                <c:pt idx="0">
                  <c:v>一般公共预算财政拨款收入</c:v>
                </c:pt>
                <c:pt idx="1">
                  <c:v>事业收入</c:v>
                </c:pt>
                <c:pt idx="2">
                  <c:v>其他收入</c:v>
                </c:pt>
              </c:strCache>
            </c:strRef>
          </c:cat>
          <c:val>
            <c:numRef>
              <c:f>[编制说明的图.xlsx]Sheet2!$C$4:$C$6</c:f>
              <c:numCache>
                <c:formatCode>0%</c:formatCode>
                <c:ptCount val="3"/>
                <c:pt idx="0">
                  <c:v>0.98</c:v>
                </c:pt>
                <c:pt idx="1">
                  <c:v>0.02</c:v>
                </c:pt>
                <c:pt idx="2" c:formatCode="General">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12700" cap="flat" cmpd="sng" algn="ctr">
      <a:solidFill>
        <a:schemeClr val="tx1"/>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solidFill>
                  <a:schemeClr val="tx1"/>
                </a:solidFill>
              </a:rPr>
              <a:t>支出决算结构图</a:t>
            </a:r>
            <a:endParaRPr>
              <a:solidFill>
                <a:schemeClr val="tx1"/>
              </a:solidFill>
            </a:endParaRPr>
          </a:p>
        </c:rich>
      </c:tx>
      <c:layout/>
      <c:overlay val="0"/>
      <c:spPr>
        <a:noFill/>
        <a:ln w="12700" cmpd="sng">
          <a:noFill/>
          <a:prstDash val="solid"/>
        </a:ln>
        <a:effectLst/>
      </c:spPr>
    </c:title>
    <c:autoTitleDeleted val="0"/>
    <c:plotArea>
      <c:layout/>
      <c:pieChart>
        <c:varyColors val="1"/>
        <c:ser>
          <c:idx val="0"/>
          <c:order val="0"/>
          <c:spPr/>
          <c:explosion val="0"/>
          <c:dPt>
            <c:idx val="0"/>
            <c:bubble3D val="0"/>
            <c:explosion val="1"/>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1"/>
              <c:layout>
                <c:manualLayout>
                  <c:x val="-0.0161030595813204"/>
                  <c:y val="-0.0364225010117361"/>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0.103252595155709"/>
                      <c:h val="0.0807056229327453"/>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[编制说明的图.xlsx]Sheet2!$A$4:$A$5</c:f>
              <c:strCache>
                <c:ptCount val="2"/>
                <c:pt idx="0">
                  <c:v>基本支出</c:v>
                </c:pt>
                <c:pt idx="1">
                  <c:v>项目支出</c:v>
                </c:pt>
              </c:strCache>
            </c:strRef>
          </c:cat>
          <c:val>
            <c:numRef>
              <c:f>[编制说明的图.xlsx]Sheet2!$B$4:$B$5</c:f>
              <c:numCache>
                <c:formatCode>General</c:formatCode>
                <c:ptCount val="2"/>
                <c:pt idx="0">
                  <c:v>6331.26</c:v>
                </c:pt>
                <c:pt idx="1">
                  <c:v>7696.27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12700" cap="flat" cmpd="sng" algn="ctr">
      <a:solidFill>
        <a:schemeClr val="tx1"/>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a:solidFill>
                  <a:schemeClr val="tx1"/>
                </a:solidFill>
              </a:rPr>
              <a:t>财政拨款收、支决算总计变动情况</a:t>
            </a:r>
            <a:endParaRPr>
              <a:solidFill>
                <a:schemeClr val="tx1"/>
              </a:solidFill>
            </a:endParaRPr>
          </a:p>
        </c:rich>
      </c:tx>
      <c:layout/>
      <c:overlay val="0"/>
      <c:spPr>
        <a:noFill/>
        <a:ln>
          <a:noFill/>
        </a:ln>
        <a:effectLst/>
      </c:spPr>
    </c:title>
    <c:autoTitleDeleted val="0"/>
    <c:plotArea>
      <c:layout/>
      <c:barChart>
        <c:barDir val="col"/>
        <c:grouping val="clustered"/>
        <c:varyColors val="0"/>
        <c:ser>
          <c:idx val="0"/>
          <c:order val="0"/>
          <c:tx>
            <c:strRef>
              <c:f>"2019年"</c:f>
              <c:strCache>
                <c:ptCount val="1"/>
                <c:pt idx="0">
                  <c:v>2019年</c:v>
                </c:pt>
              </c:strCache>
            </c:strRef>
          </c:tx>
          <c:spPr>
            <a:solidFill>
              <a:schemeClr val="accent1"/>
            </a:solidFill>
            <a:ln>
              <a:noFill/>
            </a:ln>
            <a:effectLst/>
          </c:spPr>
          <c:invertIfNegative val="0"/>
          <c:dLbls>
            <c:delete val="1"/>
          </c:dLbls>
          <c:cat>
            <c:multiLvlStrRef>
              <c:f>[编制说明的图.xlsx]Sheet1!$A$3:$B$4</c:f>
              <c:multiLvlStrCache>
                <c:ptCount val="2"/>
                <c:lvl>
                  <c:pt idx="0">
                    <c:v>财政拨款收入</c:v>
                  </c:pt>
                  <c:pt idx="1">
                    <c:v>财政拨款支出</c:v>
                  </c:pt>
                </c:lvl>
                <c:lvl/>
              </c:multiLvlStrCache>
            </c:multiLvlStrRef>
          </c:cat>
          <c:val>
            <c:numRef>
              <c:f>[编制说明的图.xlsx]Sheet1!$C$3:$C$4</c:f>
              <c:numCache>
                <c:formatCode>General</c:formatCode>
                <c:ptCount val="2"/>
                <c:pt idx="0">
                  <c:v>15891.13</c:v>
                </c:pt>
                <c:pt idx="1">
                  <c:v>15891.13</c:v>
                </c:pt>
              </c:numCache>
            </c:numRef>
          </c:val>
        </c:ser>
        <c:ser>
          <c:idx val="1"/>
          <c:order val="1"/>
          <c:tx>
            <c:strRef>
              <c:f>"2020年"</c:f>
              <c:strCache>
                <c:ptCount val="1"/>
                <c:pt idx="0">
                  <c:v>2020年</c:v>
                </c:pt>
              </c:strCache>
            </c:strRef>
          </c:tx>
          <c:spPr>
            <a:solidFill>
              <a:schemeClr val="accent2"/>
            </a:solidFill>
            <a:ln>
              <a:noFill/>
            </a:ln>
            <a:effectLst/>
          </c:spPr>
          <c:invertIfNegative val="0"/>
          <c:dLbls>
            <c:delete val="1"/>
          </c:dLbls>
          <c:cat>
            <c:multiLvlStrRef>
              <c:f>[编制说明的图.xlsx]Sheet1!$A$3:$B$4</c:f>
              <c:multiLvlStrCache>
                <c:ptCount val="2"/>
                <c:lvl>
                  <c:pt idx="0">
                    <c:v>财政拨款收入</c:v>
                  </c:pt>
                  <c:pt idx="1">
                    <c:v>财政拨款支出</c:v>
                  </c:pt>
                </c:lvl>
                <c:lvl/>
              </c:multiLvlStrCache>
            </c:multiLvlStrRef>
          </c:cat>
          <c:val>
            <c:numRef>
              <c:f>[编制说明的图.xlsx]Sheet1!$D$3:$D$4</c:f>
              <c:numCache>
                <c:formatCode>General</c:formatCode>
                <c:ptCount val="2"/>
                <c:pt idx="0">
                  <c:v>13747.48</c:v>
                </c:pt>
                <c:pt idx="1">
                  <c:v>13747.48</c:v>
                </c:pt>
              </c:numCache>
            </c:numRef>
          </c:val>
        </c:ser>
        <c:dLbls>
          <c:showLegendKey val="0"/>
          <c:showVal val="0"/>
          <c:showCatName val="0"/>
          <c:showSerName val="0"/>
          <c:showPercent val="0"/>
          <c:showBubbleSize val="0"/>
        </c:dLbls>
        <c:gapWidth val="150"/>
        <c:overlap val="0"/>
        <c:axId val="441874688"/>
        <c:axId val="913063018"/>
      </c:barChart>
      <c:catAx>
        <c:axId val="44187468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3063018"/>
        <c:crosses val="autoZero"/>
        <c:auto val="1"/>
        <c:lblAlgn val="ctr"/>
        <c:lblOffset val="100"/>
        <c:noMultiLvlLbl val="0"/>
      </c:catAx>
      <c:valAx>
        <c:axId val="91306301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18746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12700" cap="flat" cmpd="sng" algn="ctr">
      <a:solidFill>
        <a:schemeClr val="tx1"/>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mn-lt"/>
                <a:ea typeface="+mn-ea"/>
                <a:cs typeface="+mn-cs"/>
              </a:defRPr>
            </a:pPr>
            <a:r>
              <a:rPr>
                <a:solidFill>
                  <a:schemeClr val="tx1"/>
                </a:solidFill>
              </a:rPr>
              <a:t>一般公共预算财政拨款支出决算变动情况</a:t>
            </a:r>
            <a:endParaRPr>
              <a:solidFill>
                <a:schemeClr val="tx1"/>
              </a:solidFill>
            </a:endParaRPr>
          </a:p>
        </c:rich>
      </c:tx>
      <c:layout>
        <c:manualLayout>
          <c:xMode val="edge"/>
          <c:yMode val="edge"/>
          <c:x val="0.150380021715527"/>
          <c:y val="0.0286520512263946"/>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[编制说明的图.xlsx]Sheet3!$B$3:$B$4</c:f>
              <c:strCache>
                <c:ptCount val="2"/>
                <c:pt idx="0">
                  <c:v>2019年</c:v>
                </c:pt>
                <c:pt idx="1">
                  <c:v>2020年</c:v>
                </c:pt>
              </c:strCache>
            </c:strRef>
          </c:cat>
          <c:val>
            <c:numRef>
              <c:f>[编制说明的图.xlsx]Sheet3!$C$3:$C$4</c:f>
              <c:numCache>
                <c:formatCode>General</c:formatCode>
                <c:ptCount val="2"/>
                <c:pt idx="0">
                  <c:v>15891.13</c:v>
                </c:pt>
                <c:pt idx="1">
                  <c:v>13747.48</c:v>
                </c:pt>
              </c:numCache>
            </c:numRef>
          </c:val>
        </c:ser>
        <c:dLbls>
          <c:showLegendKey val="0"/>
          <c:showVal val="1"/>
          <c:showCatName val="0"/>
          <c:showSerName val="0"/>
          <c:showPercent val="0"/>
          <c:showBubbleSize val="0"/>
        </c:dLbls>
        <c:gapWidth val="150"/>
        <c:overlap val="0"/>
        <c:axId val="285503241"/>
        <c:axId val="646070489"/>
      </c:barChart>
      <c:catAx>
        <c:axId val="28550324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6070489"/>
        <c:crosses val="autoZero"/>
        <c:auto val="1"/>
        <c:lblAlgn val="ctr"/>
        <c:lblOffset val="100"/>
        <c:noMultiLvlLbl val="0"/>
      </c:catAx>
      <c:valAx>
        <c:axId val="64607048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5503241"/>
        <c:crosses val="autoZero"/>
        <c:crossBetween val="between"/>
      </c:valAx>
      <c:spPr>
        <a:noFill/>
        <a:ln>
          <a:noFill/>
        </a:ln>
        <a:effectLst/>
      </c:spPr>
    </c:plotArea>
    <c:plotVisOnly val="1"/>
    <c:dispBlanksAs val="gap"/>
    <c:showDLblsOverMax val="0"/>
  </c:chart>
  <c:spPr>
    <a:solidFill>
      <a:schemeClr val="bg1"/>
    </a:solidFill>
    <a:ln w="12700" cap="flat" cmpd="sng" algn="ctr">
      <a:solidFill>
        <a:schemeClr val="tx1"/>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c:spPr>
          </c:dPt>
          <c:dLbls>
            <c:dLbl>
              <c:idx val="0"/>
              <c:layout>
                <c:manualLayout>
                  <c:x val="0.0153066302029365"/>
                  <c:y val="0.020106252701965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536685301474815"/>
                  <c:y val="-0.10770186912248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14869643781302"/>
                  <c:y val="0.0164977362519797"/>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108003193729007"/>
                  <c:y val="-0.00826822894995337"/>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0815691943900798"/>
                  <c:y val="-0.010989903009620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0.00692652408006699"/>
                  <c:y val="0.0037358942148626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6"/>
              <c:layout>
                <c:manualLayout>
                  <c:x val="-0.0146188042940118"/>
                  <c:y val="0.0150335293223109"/>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7"/>
              <c:layout>
                <c:manualLayout>
                  <c:x val="-0.0199131133410668"/>
                  <c:y val="0.0178226084294139"/>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[编制说明的图.xlsx]Sheet4!$A$1:$A$8</c:f>
              <c:strCache>
                <c:ptCount val="8"/>
                <c:pt idx="0">
                  <c:v>一般公共服务支出</c:v>
                </c:pt>
                <c:pt idx="1">
                  <c:v>教育支出</c:v>
                </c:pt>
                <c:pt idx="2">
                  <c:v>社会保障和就业支出</c:v>
                </c:pt>
                <c:pt idx="3">
                  <c:v>卫生健康支出</c:v>
                </c:pt>
                <c:pt idx="4">
                  <c:v>商业服务业等支出</c:v>
                </c:pt>
                <c:pt idx="5">
                  <c:v>住房保障支出</c:v>
                </c:pt>
                <c:pt idx="6">
                  <c:v>粮油物资储备支出</c:v>
                </c:pt>
                <c:pt idx="7">
                  <c:v>灾害防治及应急管理支出</c:v>
                </c:pt>
              </c:strCache>
            </c:strRef>
          </c:cat>
          <c:val>
            <c:numRef>
              <c:f>[编制说明的图.xlsx]Sheet4!$B$1:$B$8</c:f>
              <c:numCache>
                <c:formatCode>0.00_ </c:formatCode>
                <c:ptCount val="8"/>
                <c:pt idx="0">
                  <c:v>325.95</c:v>
                </c:pt>
                <c:pt idx="1" c:formatCode="General">
                  <c:v>9313.23</c:v>
                </c:pt>
                <c:pt idx="2" c:formatCode="General">
                  <c:v>720.84</c:v>
                </c:pt>
                <c:pt idx="3" c:formatCode="General">
                  <c:v>137.08</c:v>
                </c:pt>
                <c:pt idx="4" c:formatCode="General">
                  <c:v>1552.95</c:v>
                </c:pt>
                <c:pt idx="5" c:formatCode="General">
                  <c:v>282.43</c:v>
                </c:pt>
                <c:pt idx="6" c:formatCode="General">
                  <c:v>1410</c:v>
                </c:pt>
                <c:pt idx="7" c:formatCode="General">
                  <c:v>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noFill/>
    <a:ln w="12700" cap="flat" cmpd="sng" algn="ctr">
      <a:solidFill>
        <a:schemeClr val="tx1"/>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a:t>
            </a:r>
          </a:p>
        </c:rich>
      </c:tx>
      <c:layout>
        <c:manualLayout>
          <c:xMode val="edge"/>
          <c:yMode val="edge"/>
          <c:x val="0.218333333333333"/>
          <c:y val="0.0305555555555556"/>
        </c:manualLayout>
      </c:layout>
      <c:overlay val="0"/>
      <c:spPr>
        <a:noFill/>
        <a:ln>
          <a:noFill/>
        </a:ln>
        <a:effectLst/>
      </c:spPr>
    </c:title>
    <c:autoTitleDeleted val="0"/>
    <c:plotArea>
      <c:layout>
        <c:manualLayout>
          <c:layoutTarget val="inner"/>
          <c:xMode val="edge"/>
          <c:yMode val="edge"/>
          <c:x val="0.258888888888889"/>
          <c:y val="0.1875"/>
          <c:w val="0.419722222222222"/>
          <c:h val="0.699537037037037"/>
        </c:manualLayout>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922482887147881"/>
                  <c:y val="-0.036691984262873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529255422143023"/>
                  <c:y val="0.027097979402787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15"/>
                  <c:y val="0.0138888888888889"/>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[编制说明的图.xlsx]Sheet5!$A$1:$A$3</c:f>
              <c:strCache>
                <c:ptCount val="3"/>
                <c:pt idx="0">
                  <c:v>公务用车购置及运行维护费支出</c:v>
                </c:pt>
                <c:pt idx="1">
                  <c:v>公务接待费支出</c:v>
                </c:pt>
                <c:pt idx="2">
                  <c:v>因公出国（境）费支出</c:v>
                </c:pt>
              </c:strCache>
            </c:strRef>
          </c:cat>
          <c:val>
            <c:numRef>
              <c:f>[编制说明的图.xlsx]Sheet5!$B$1:$B$3</c:f>
              <c:numCache>
                <c:formatCode>General</c:formatCode>
                <c:ptCount val="3"/>
                <c:pt idx="0">
                  <c:v>78.8</c:v>
                </c:pt>
                <c:pt idx="1">
                  <c:v>8.13</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776908292147172"/>
          <c:y val="0.31997084548105"/>
          <c:w val="0.181219110378913"/>
          <c:h val="0.61516034985422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12700" cap="flat" cmpd="sng" algn="ctr">
      <a:solidFill>
        <a:schemeClr val="tx1"/>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CC7602-F64C-4C8E-92A1-821E23A4E59B}">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25</TotalTime>
  <ScaleCrop>false</ScaleCrop>
  <LinksUpToDate>false</LinksUpToDate>
  <CharactersWithSpaces>8692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89</cp:lastModifiedBy>
  <cp:lastPrinted>2021-08-23T07:17:00Z</cp:lastPrinted>
  <dcterms:modified xsi:type="dcterms:W3CDTF">2021-08-25T09:54:48Z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819929D2572B4F0A90FF46541F148E21</vt:lpwstr>
  </property>
</Properties>
</file>