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0"/>
        <w:rPr>
          <w:rFonts w:ascii="仿宋_GB2312" w:hAnsi="宋体" w:eastAsia="仿宋_GB2312" w:cs="Arial"/>
          <w:b/>
          <w:bCs/>
          <w:spacing w:val="-6"/>
          <w:sz w:val="32"/>
          <w:szCs w:val="32"/>
        </w:rPr>
      </w:pPr>
      <w:r>
        <w:rPr>
          <w:rFonts w:hint="eastAsia" w:ascii="仿宋_GB2312" w:hAnsi="宋体" w:eastAsia="仿宋_GB2312" w:cs="Arial"/>
          <w:b/>
          <w:bCs/>
          <w:spacing w:val="-6"/>
          <w:sz w:val="32"/>
          <w:szCs w:val="32"/>
        </w:rPr>
        <w:t>附件1</w:t>
      </w:r>
    </w:p>
    <w:p/>
    <w:p>
      <w:pPr>
        <w:adjustRightInd w:val="0"/>
        <w:snapToGrid w:val="0"/>
        <w:spacing w:line="0" w:lineRule="atLeast"/>
        <w:jc w:val="center"/>
        <w:rPr>
          <w:rFonts w:ascii="方正小标宋简体" w:hAnsi="方正小标宋简体" w:eastAsia="方正小标宋简体" w:cs="方正小标宋简体"/>
          <w:b/>
          <w:bCs/>
          <w:color w:val="000000" w:themeColor="text1"/>
          <w:spacing w:val="-8"/>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8"/>
          <w:sz w:val="44"/>
          <w:szCs w:val="44"/>
          <w14:textFill>
            <w14:solidFill>
              <w14:schemeClr w14:val="tx1"/>
            </w14:solidFill>
          </w14:textFill>
        </w:rPr>
        <w:t>关于持续深化供销合作社综合改革加快建设</w:t>
      </w:r>
    </w:p>
    <w:p>
      <w:pPr>
        <w:adjustRightInd w:val="0"/>
        <w:snapToGrid w:val="0"/>
        <w:spacing w:line="0" w:lineRule="atLeast"/>
        <w:jc w:val="center"/>
        <w:rPr>
          <w:rFonts w:ascii="方正小标宋简体" w:hAnsi="方正小标宋简体" w:eastAsia="方正小标宋简体" w:cs="方正小标宋简体"/>
          <w:b/>
          <w:bCs/>
          <w:color w:val="000000" w:themeColor="text1"/>
          <w:spacing w:val="-8"/>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8"/>
          <w:sz w:val="44"/>
          <w:szCs w:val="44"/>
          <w14:textFill>
            <w14:solidFill>
              <w14:schemeClr w14:val="tx1"/>
            </w14:solidFill>
          </w14:textFill>
        </w:rPr>
        <w:t>为农服务综合平台的意见</w:t>
      </w:r>
    </w:p>
    <w:p>
      <w:pPr>
        <w:spacing w:line="576" w:lineRule="exact"/>
        <w:jc w:val="center"/>
        <w:outlineLvl w:val="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征求意见</w:t>
      </w:r>
      <w:bookmarkStart w:id="0" w:name="_GoBack"/>
      <w:bookmarkEnd w:id="0"/>
      <w:r>
        <w:rPr>
          <w:rFonts w:hint="eastAsia" w:ascii="楷体_GB2312" w:hAnsi="楷体_GB2312" w:eastAsia="楷体_GB2312" w:cs="楷体_GB2312"/>
          <w:b/>
          <w:bCs/>
          <w:color w:val="000000" w:themeColor="text1"/>
          <w:sz w:val="32"/>
          <w:szCs w:val="32"/>
          <w14:textFill>
            <w14:solidFill>
              <w14:schemeClr w14:val="tx1"/>
            </w14:solidFill>
          </w14:textFill>
        </w:rPr>
        <w:t>稿）</w:t>
      </w:r>
    </w:p>
    <w:p>
      <w:pPr>
        <w:pStyle w:val="2"/>
        <w:adjustRightInd w:val="0"/>
        <w:snapToGrid w:val="0"/>
        <w:spacing w:line="560" w:lineRule="exact"/>
        <w:ind w:firstLine="624"/>
        <w:rPr>
          <w:b/>
          <w:bCs/>
          <w:sz w:val="32"/>
          <w:szCs w:val="32"/>
        </w:rPr>
      </w:pPr>
    </w:p>
    <w:p>
      <w:pPr>
        <w:adjustRightInd w:val="0"/>
        <w:snapToGrid w:val="0"/>
        <w:spacing w:line="560" w:lineRule="exact"/>
        <w:ind w:firstLine="598" w:firstLineChars="200"/>
        <w:outlineLvl w:val="0"/>
        <w:rPr>
          <w:rFonts w:ascii="仿宋_GB2312" w:hAnsi="宋体" w:eastAsia="仿宋_GB2312" w:cs="Arial"/>
          <w:b/>
          <w:bCs/>
          <w:spacing w:val="-6"/>
          <w:sz w:val="32"/>
          <w:szCs w:val="32"/>
        </w:rPr>
      </w:pPr>
      <w:r>
        <w:rPr>
          <w:rFonts w:hint="eastAsia" w:ascii="仿宋_GB2312" w:hAnsi="宋体" w:eastAsia="仿宋_GB2312" w:cs="Arial"/>
          <w:b/>
          <w:bCs/>
          <w:spacing w:val="-6"/>
          <w:sz w:val="32"/>
          <w:szCs w:val="32"/>
        </w:rPr>
        <w:t>为深入贯彻落实习近平总书记对供销合作社工作的重要指示精神，把供销合作社加快建设成为服务农民生产生活的综合平台，成为党和政府密切联系农民群众的桥梁纽带，充分发挥供销合作社为农服务的优势和作用，现提出如下意见。</w:t>
      </w:r>
    </w:p>
    <w:p>
      <w:pPr>
        <w:adjustRightInd w:val="0"/>
        <w:snapToGrid w:val="0"/>
        <w:spacing w:line="560" w:lineRule="atLeast"/>
        <w:ind w:firstLine="622" w:firstLineChars="200"/>
        <w:outlineLvl w:val="0"/>
        <w:rPr>
          <w:rFonts w:ascii="黑体" w:hAnsi="黑体" w:eastAsia="黑体" w:cs="仿宋_GB2312"/>
          <w:b/>
          <w:bCs/>
          <w:sz w:val="32"/>
          <w:szCs w:val="32"/>
        </w:rPr>
      </w:pPr>
      <w:r>
        <w:rPr>
          <w:rFonts w:hint="eastAsia" w:ascii="黑体" w:hAnsi="黑体" w:eastAsia="黑体" w:cs="仿宋_GB2312"/>
          <w:b/>
          <w:bCs/>
          <w:sz w:val="32"/>
          <w:szCs w:val="32"/>
        </w:rPr>
        <w:t>一、总体要求</w:t>
      </w:r>
    </w:p>
    <w:p>
      <w:pPr>
        <w:pStyle w:val="20"/>
        <w:numPr>
          <w:ilvl w:val="0"/>
          <w:numId w:val="1"/>
        </w:numPr>
        <w:tabs>
          <w:tab w:val="left" w:pos="1560"/>
        </w:tabs>
        <w:adjustRightInd w:val="0"/>
        <w:snapToGrid w:val="0"/>
        <w:spacing w:line="560" w:lineRule="atLeast"/>
        <w:ind w:left="0" w:firstLine="621" w:firstLineChars="0"/>
        <w:jc w:val="left"/>
        <w:rPr>
          <w:rFonts w:ascii="仿宋_GB2312" w:hAnsi="Calibri" w:eastAsia="仿宋_GB2312"/>
          <w:b/>
          <w:bCs/>
          <w:sz w:val="32"/>
          <w:szCs w:val="32"/>
        </w:rPr>
      </w:pPr>
      <w:r>
        <w:rPr>
          <w:rFonts w:hint="eastAsia" w:ascii="楷体_GB2312" w:hAnsi="仿宋_GB2312" w:eastAsia="楷体_GB2312" w:cs="仿宋_GB2312"/>
          <w:b/>
          <w:bCs/>
          <w:sz w:val="32"/>
          <w:szCs w:val="32"/>
        </w:rPr>
        <w:t>指导思想。</w:t>
      </w:r>
      <w:r>
        <w:rPr>
          <w:rFonts w:hint="eastAsia" w:ascii="仿宋_GB2312" w:hAnsi="仿宋_GB2312" w:eastAsia="仿宋_GB2312" w:cs="仿宋_GB2312"/>
          <w:b/>
          <w:bCs/>
          <w:sz w:val="32"/>
          <w:szCs w:val="32"/>
        </w:rPr>
        <w:t>以习近平新时代中国特色社会主义思想为指导，</w:t>
      </w:r>
      <w:r>
        <w:rPr>
          <w:rFonts w:hint="eastAsia" w:ascii="仿宋_GB2312" w:hAnsi="宋体" w:eastAsia="仿宋_GB2312" w:cs="Arial"/>
          <w:b/>
          <w:bCs/>
          <w:spacing w:val="-6"/>
          <w:sz w:val="32"/>
          <w:szCs w:val="32"/>
        </w:rPr>
        <w:t>全面落实党中央、国务院关于深化供销合作社综合改革的部署要求，围绕“三农”工作大局，</w:t>
      </w:r>
      <w:r>
        <w:rPr>
          <w:rFonts w:hint="eastAsia" w:ascii="仿宋_GB2312" w:hAnsi="仿宋_GB2312" w:eastAsia="仿宋_GB2312" w:cs="仿宋_GB2312"/>
          <w:b/>
          <w:bCs/>
          <w:sz w:val="32"/>
          <w:szCs w:val="32"/>
        </w:rPr>
        <w:t>坚持为农服务根本宗旨，坚持政府主导、供销主办、市场运作、资源整合，突出流通主业，建强服务网络，提</w:t>
      </w:r>
      <w:r>
        <w:rPr>
          <w:rFonts w:hint="eastAsia" w:ascii="仿宋_GB2312" w:hAnsi="Calibri" w:eastAsia="仿宋_GB2312"/>
          <w:b/>
          <w:bCs/>
          <w:sz w:val="32"/>
          <w:szCs w:val="32"/>
        </w:rPr>
        <w:t>升服务能力，完善服务机制，把供销合作社加快建成为农服务综合平台，为巩固拓展脱贫攻坚成果、全面推进乡村振兴、加快农业农村现代化、推动四川由农业大省向农业强省跨越提供有力支撑。</w:t>
      </w:r>
    </w:p>
    <w:p>
      <w:pPr>
        <w:pStyle w:val="20"/>
        <w:numPr>
          <w:ilvl w:val="0"/>
          <w:numId w:val="1"/>
        </w:numPr>
        <w:tabs>
          <w:tab w:val="left" w:pos="1560"/>
        </w:tabs>
        <w:adjustRightInd w:val="0"/>
        <w:snapToGrid w:val="0"/>
        <w:spacing w:line="560" w:lineRule="atLeast"/>
        <w:ind w:left="0" w:firstLine="621" w:firstLineChars="0"/>
        <w:jc w:val="left"/>
        <w:rPr>
          <w:rFonts w:ascii="仿宋_GB2312" w:hAnsi="Calibri" w:eastAsia="仿宋_GB2312"/>
          <w:b/>
          <w:bCs/>
          <w:sz w:val="32"/>
          <w:szCs w:val="32"/>
        </w:rPr>
      </w:pPr>
      <w:r>
        <w:rPr>
          <w:rStyle w:val="18"/>
          <w:rFonts w:hint="eastAsia" w:ascii="楷体_GB2312" w:hAnsi="仿宋_GB2312" w:eastAsia="楷体_GB2312" w:cs="宋体"/>
          <w:b/>
          <w:bCs/>
          <w:sz w:val="32"/>
          <w:szCs w:val="32"/>
        </w:rPr>
        <w:t>主要</w:t>
      </w:r>
      <w:r>
        <w:rPr>
          <w:rStyle w:val="18"/>
          <w:rFonts w:hint="eastAsia" w:ascii="楷体_GB2312" w:hAnsi="仿宋_GB2312" w:eastAsia="楷体_GB2312"/>
          <w:b/>
          <w:bCs/>
          <w:sz w:val="32"/>
          <w:szCs w:val="32"/>
        </w:rPr>
        <w:t>目标。</w:t>
      </w:r>
      <w:r>
        <w:rPr>
          <w:rFonts w:hint="eastAsia" w:ascii="仿宋_GB2312" w:hAnsi="Calibri" w:eastAsia="仿宋_GB2312"/>
          <w:b/>
          <w:bCs/>
          <w:sz w:val="32"/>
          <w:szCs w:val="32"/>
        </w:rPr>
        <w:t>到2025年，对接</w:t>
      </w:r>
      <w:r>
        <w:rPr>
          <w:rFonts w:hint="eastAsia" w:ascii="仿宋_GB2312" w:hAnsi="仿宋_GB2312" w:eastAsia="仿宋_GB2312" w:cs="仿宋_GB2312"/>
          <w:b/>
          <w:bCs/>
          <w:sz w:val="32"/>
          <w:szCs w:val="32"/>
        </w:rPr>
        <w:t>农业生产端和城乡消费端、</w:t>
      </w:r>
      <w:r>
        <w:rPr>
          <w:rFonts w:hint="eastAsia" w:ascii="仿宋_GB2312" w:hAnsi="Calibri" w:eastAsia="仿宋_GB2312"/>
          <w:b/>
          <w:bCs/>
          <w:sz w:val="32"/>
          <w:szCs w:val="32"/>
        </w:rPr>
        <w:t>以公共型农产品现代冷链物流骨干网和数字供销网为主体的供销合作社服务网络基本建成；为农综合服务能力显著增强，在农资供应、农业生产社会化服务、农产品现代流通服务中的“国家队”作用更加突出；供销合作社与农民利益联结更加紧密，为农服务综合性合作经济组织的独特优势充分彰显。</w:t>
      </w:r>
    </w:p>
    <w:p>
      <w:pPr>
        <w:numPr>
          <w:ilvl w:val="0"/>
          <w:numId w:val="2"/>
        </w:numPr>
        <w:adjustRightInd w:val="0"/>
        <w:snapToGrid w:val="0"/>
        <w:spacing w:line="560" w:lineRule="atLeast"/>
        <w:ind w:firstLine="622" w:firstLineChars="200"/>
        <w:jc w:val="left"/>
        <w:rPr>
          <w:rFonts w:ascii="黑体" w:hAnsi="黑体" w:eastAsia="黑体" w:cs="仿宋_GB2312"/>
          <w:b/>
          <w:bCs/>
          <w:sz w:val="32"/>
          <w:szCs w:val="32"/>
        </w:rPr>
      </w:pPr>
      <w:r>
        <w:rPr>
          <w:rFonts w:hint="eastAsia" w:ascii="黑体" w:hAnsi="黑体" w:eastAsia="黑体" w:cs="仿宋_GB2312"/>
          <w:b/>
          <w:bCs/>
          <w:sz w:val="32"/>
          <w:szCs w:val="32"/>
        </w:rPr>
        <w:t>建强服务网络</w:t>
      </w:r>
    </w:p>
    <w:p>
      <w:pPr>
        <w:pStyle w:val="20"/>
        <w:numPr>
          <w:ilvl w:val="0"/>
          <w:numId w:val="1"/>
        </w:numPr>
        <w:tabs>
          <w:tab w:val="left" w:pos="1560"/>
        </w:tabs>
        <w:adjustRightInd w:val="0"/>
        <w:snapToGrid w:val="0"/>
        <w:spacing w:line="560" w:lineRule="atLeast"/>
        <w:ind w:left="0" w:firstLine="621" w:firstLineChars="0"/>
        <w:jc w:val="left"/>
        <w:rPr>
          <w:rStyle w:val="18"/>
          <w:rFonts w:ascii="仿宋_GB2312" w:hAnsi="仿宋_GB2312" w:eastAsia="仿宋_GB2312" w:cs="仿宋_GB2312"/>
          <w:b/>
          <w:bCs/>
          <w:sz w:val="32"/>
          <w:szCs w:val="32"/>
        </w:rPr>
      </w:pPr>
      <w:r>
        <w:rPr>
          <w:rStyle w:val="18"/>
          <w:rFonts w:hint="eastAsia" w:ascii="楷体_GB2312" w:hAnsi="仿宋_GB2312" w:eastAsia="楷体_GB2312" w:cs="宋体"/>
          <w:b/>
          <w:bCs/>
          <w:sz w:val="32"/>
          <w:szCs w:val="32"/>
        </w:rPr>
        <w:t>建设为农服务中心。</w:t>
      </w:r>
      <w:r>
        <w:rPr>
          <w:rFonts w:hint="eastAsia" w:ascii="仿宋_GB2312" w:eastAsia="仿宋_GB2312"/>
          <w:b/>
          <w:bCs/>
          <w:sz w:val="32"/>
          <w:szCs w:val="32"/>
        </w:rPr>
        <w:t>结合县域内的片区划分，在中心镇以及农业产业基础好、人口规模较大的中心村，</w:t>
      </w:r>
      <w:r>
        <w:rPr>
          <w:rStyle w:val="18"/>
          <w:rFonts w:hint="eastAsia" w:ascii="仿宋_GB2312" w:hAnsi="仿宋_GB2312" w:eastAsia="仿宋_GB2312" w:cs="仿宋_GB2312"/>
          <w:b/>
          <w:bCs/>
          <w:sz w:val="32"/>
          <w:szCs w:val="32"/>
        </w:rPr>
        <w:t>通过</w:t>
      </w:r>
      <w:r>
        <w:rPr>
          <w:rFonts w:hint="eastAsia" w:ascii="仿宋_GB2312" w:eastAsia="仿宋_GB2312"/>
          <w:b/>
          <w:bCs/>
          <w:sz w:val="32"/>
          <w:szCs w:val="32"/>
        </w:rPr>
        <w:t>社有企业带动、</w:t>
      </w:r>
      <w:r>
        <w:rPr>
          <w:rStyle w:val="18"/>
          <w:rFonts w:hint="eastAsia" w:ascii="仿宋_GB2312" w:hAnsi="仿宋_GB2312" w:eastAsia="仿宋_GB2312" w:cs="仿宋_GB2312"/>
          <w:b/>
          <w:bCs/>
          <w:sz w:val="32"/>
          <w:szCs w:val="32"/>
        </w:rPr>
        <w:t>市场化运作，</w:t>
      </w:r>
      <w:r>
        <w:rPr>
          <w:rFonts w:hint="eastAsia" w:ascii="仿宋_GB2312" w:eastAsia="仿宋_GB2312"/>
          <w:b/>
          <w:bCs/>
          <w:sz w:val="32"/>
          <w:szCs w:val="32"/>
        </w:rPr>
        <w:t>建设为农服务中心，</w:t>
      </w:r>
      <w:r>
        <w:rPr>
          <w:rStyle w:val="18"/>
          <w:rFonts w:hint="eastAsia" w:ascii="仿宋_GB2312" w:hAnsi="仿宋_GB2312" w:eastAsia="仿宋_GB2312" w:cs="仿宋_GB2312"/>
          <w:b/>
          <w:bCs/>
          <w:sz w:val="32"/>
          <w:szCs w:val="32"/>
        </w:rPr>
        <w:t>整合涉农服务资源，</w:t>
      </w:r>
      <w:r>
        <w:rPr>
          <w:rFonts w:hint="eastAsia" w:ascii="仿宋_GB2312" w:eastAsia="仿宋_GB2312"/>
          <w:b/>
          <w:bCs/>
          <w:sz w:val="32"/>
          <w:szCs w:val="32"/>
        </w:rPr>
        <w:t>开展农业生产服务、农村流通服务和农民生活服务</w:t>
      </w:r>
      <w:r>
        <w:rPr>
          <w:rFonts w:hint="eastAsia" w:ascii="仿宋_GB2312" w:hAnsi="Calibri" w:eastAsia="仿宋_GB2312"/>
          <w:b/>
          <w:bCs/>
          <w:sz w:val="32"/>
          <w:szCs w:val="32"/>
        </w:rPr>
        <w:t>。</w:t>
      </w:r>
      <w:r>
        <w:rPr>
          <w:rStyle w:val="18"/>
          <w:rFonts w:hint="eastAsia" w:ascii="仿宋_GB2312" w:hAnsi="仿宋_GB2312" w:eastAsia="仿宋_GB2312" w:cs="仿宋_GB2312"/>
          <w:b/>
          <w:bCs/>
          <w:sz w:val="32"/>
          <w:szCs w:val="32"/>
        </w:rPr>
        <w:t>〔责任单位：省供销社，财政厅、农业农村厅、商务厅、省市场监管局、省乡村振兴局等（逗号前为牵头单位，下同）〕</w:t>
      </w:r>
    </w:p>
    <w:p>
      <w:pPr>
        <w:pStyle w:val="20"/>
        <w:numPr>
          <w:ilvl w:val="0"/>
          <w:numId w:val="1"/>
        </w:numPr>
        <w:tabs>
          <w:tab w:val="left" w:pos="1560"/>
        </w:tabs>
        <w:adjustRightInd w:val="0"/>
        <w:snapToGrid w:val="0"/>
        <w:spacing w:line="560" w:lineRule="atLeast"/>
        <w:ind w:left="0" w:firstLine="621" w:firstLineChars="0"/>
        <w:jc w:val="left"/>
        <w:rPr>
          <w:rStyle w:val="18"/>
          <w:rFonts w:hAnsi="仿宋_GB2312" w:cs="仿宋_GB2312"/>
        </w:rPr>
      </w:pPr>
      <w:r>
        <w:rPr>
          <w:rStyle w:val="18"/>
          <w:rFonts w:hint="eastAsia" w:ascii="楷体_GB2312" w:hAnsi="仿宋_GB2312" w:eastAsia="楷体_GB2312"/>
          <w:b/>
          <w:bCs/>
          <w:sz w:val="32"/>
          <w:szCs w:val="32"/>
        </w:rPr>
        <w:t>建设城乡社区服务网点。</w:t>
      </w:r>
      <w:r>
        <w:rPr>
          <w:rFonts w:hint="eastAsia" w:ascii="仿宋_GB2312" w:eastAsia="仿宋_GB2312"/>
          <w:b/>
          <w:bCs/>
          <w:sz w:val="32"/>
          <w:szCs w:val="32"/>
        </w:rPr>
        <w:t>适应城乡一体化发展和新型城镇化建设要求，</w:t>
      </w:r>
      <w:r>
        <w:rPr>
          <w:rStyle w:val="18"/>
          <w:rFonts w:hint="eastAsia" w:ascii="仿宋_GB2312" w:hAnsi="仿宋_GB2312" w:eastAsia="仿宋_GB2312" w:cs="仿宋_GB2312"/>
          <w:b/>
          <w:bCs/>
          <w:sz w:val="32"/>
          <w:szCs w:val="32"/>
        </w:rPr>
        <w:t>鼓励供销合作社利用城乡社区服务设施，新建、改造城乡社区服务中心</w:t>
      </w:r>
      <w:r>
        <w:rPr>
          <w:rFonts w:hint="eastAsia" w:ascii="仿宋_GB2312" w:eastAsia="仿宋_GB2312"/>
          <w:b/>
          <w:bCs/>
          <w:sz w:val="32"/>
          <w:szCs w:val="32"/>
        </w:rPr>
        <w:t>，布局社区超市，</w:t>
      </w:r>
      <w:r>
        <w:rPr>
          <w:rStyle w:val="18"/>
          <w:rFonts w:hint="eastAsia" w:ascii="仿宋_GB2312" w:hAnsi="仿宋_GB2312" w:eastAsia="仿宋_GB2312" w:cs="仿宋_GB2312"/>
          <w:b/>
          <w:bCs/>
          <w:sz w:val="32"/>
          <w:szCs w:val="32"/>
        </w:rPr>
        <w:t>开展社区便民服务</w:t>
      </w:r>
      <w:r>
        <w:rPr>
          <w:rFonts w:hint="eastAsia" w:ascii="仿宋_GB2312" w:eastAsia="仿宋_GB2312"/>
          <w:b/>
          <w:bCs/>
          <w:sz w:val="32"/>
          <w:szCs w:val="32"/>
        </w:rPr>
        <w:t>。</w:t>
      </w:r>
      <w:r>
        <w:rPr>
          <w:rStyle w:val="18"/>
          <w:rFonts w:hint="eastAsia" w:ascii="仿宋_GB2312" w:hAnsi="仿宋_GB2312" w:eastAsia="仿宋_GB2312" w:cs="仿宋_GB2312"/>
          <w:b/>
          <w:bCs/>
          <w:sz w:val="32"/>
          <w:szCs w:val="32"/>
        </w:rPr>
        <w:t>〔责任单位：省供销社，省委组织部、民政厅、人力资源社会保障厅、农业农村厅、商务厅、省市场监管局等〕</w:t>
      </w:r>
    </w:p>
    <w:p>
      <w:pPr>
        <w:pStyle w:val="20"/>
        <w:numPr>
          <w:ilvl w:val="0"/>
          <w:numId w:val="1"/>
        </w:numPr>
        <w:tabs>
          <w:tab w:val="left" w:pos="1560"/>
        </w:tabs>
        <w:adjustRightInd w:val="0"/>
        <w:snapToGrid w:val="0"/>
        <w:spacing w:line="560" w:lineRule="atLeast"/>
        <w:ind w:left="0" w:firstLine="621" w:firstLineChars="0"/>
        <w:jc w:val="left"/>
        <w:rPr>
          <w:rFonts w:ascii="仿宋_GB2312" w:hAnsi="Calibri" w:eastAsia="仿宋_GB2312"/>
          <w:b/>
          <w:bCs/>
          <w:sz w:val="32"/>
          <w:szCs w:val="32"/>
        </w:rPr>
      </w:pPr>
      <w:r>
        <w:rPr>
          <w:rStyle w:val="18"/>
          <w:rFonts w:hint="eastAsia" w:ascii="楷体_GB2312" w:hAnsi="仿宋_GB2312" w:eastAsia="楷体_GB2312" w:cs="宋体"/>
          <w:b/>
          <w:bCs/>
          <w:sz w:val="32"/>
          <w:szCs w:val="32"/>
        </w:rPr>
        <w:t>建设供销商贸综合体</w:t>
      </w:r>
      <w:r>
        <w:rPr>
          <w:rStyle w:val="18"/>
          <w:rFonts w:hint="eastAsia" w:ascii="楷体_GB2312" w:hAnsi="仿宋_GB2312" w:eastAsia="楷体_GB2312"/>
          <w:b/>
          <w:bCs/>
          <w:sz w:val="32"/>
          <w:szCs w:val="32"/>
        </w:rPr>
        <w:t>。</w:t>
      </w:r>
      <w:r>
        <w:rPr>
          <w:rStyle w:val="18"/>
          <w:rFonts w:hint="eastAsia" w:ascii="仿宋_GB2312" w:hAnsi="仿宋_GB2312" w:eastAsia="仿宋_GB2312" w:cs="仿宋_GB2312"/>
          <w:b/>
          <w:bCs/>
          <w:sz w:val="32"/>
          <w:szCs w:val="32"/>
        </w:rPr>
        <w:t>在成都及其余市（州）、部分县（市、区），建设集冷链仓储、分拣加工、批发交易、物流配送和创业孵化等功能于一体的省、市、县三级供销商贸综合体。有条件的地区，支持供销合作社参与公益性农产品批发市场和农贸市场建设，政府控股的农产品批发市场和农贸市场可按照市场化原则交由供销合作社建设、运营、管护。〔</w:t>
      </w:r>
      <w:r>
        <w:rPr>
          <w:rFonts w:hint="eastAsia" w:ascii="仿宋_GB2312" w:hAnsi="Calibri" w:eastAsia="仿宋_GB2312"/>
          <w:b/>
          <w:bCs/>
          <w:sz w:val="32"/>
          <w:szCs w:val="32"/>
        </w:rPr>
        <w:t>责任单位：省供销社，财政厅、农业农村厅、商务厅、省乡村振兴局、省市场监管局等〕</w:t>
      </w:r>
    </w:p>
    <w:p>
      <w:pPr>
        <w:pStyle w:val="20"/>
        <w:numPr>
          <w:ilvl w:val="0"/>
          <w:numId w:val="1"/>
        </w:numPr>
        <w:tabs>
          <w:tab w:val="left" w:pos="1560"/>
        </w:tabs>
        <w:adjustRightInd w:val="0"/>
        <w:snapToGrid w:val="0"/>
        <w:spacing w:line="560" w:lineRule="atLeast"/>
        <w:ind w:left="0" w:firstLine="621" w:firstLineChars="0"/>
        <w:rPr>
          <w:rFonts w:ascii="仿宋_GB2312" w:hAnsi="Calibri" w:eastAsia="仿宋_GB2312"/>
          <w:b/>
          <w:bCs/>
          <w:sz w:val="32"/>
          <w:szCs w:val="32"/>
        </w:rPr>
      </w:pPr>
      <w:r>
        <w:rPr>
          <w:rStyle w:val="18"/>
          <w:rFonts w:hint="eastAsia" w:ascii="楷体_GB2312" w:hAnsi="仿宋_GB2312" w:eastAsia="楷体_GB2312"/>
          <w:b/>
          <w:bCs/>
          <w:sz w:val="32"/>
          <w:szCs w:val="32"/>
        </w:rPr>
        <w:t>建设全省公共型农产品现代冷链物流骨干网。</w:t>
      </w:r>
      <w:r>
        <w:rPr>
          <w:rFonts w:hint="eastAsia" w:ascii="仿宋_GB2312" w:hAnsi="Calibri" w:eastAsia="仿宋_GB2312"/>
          <w:b/>
          <w:bCs/>
          <w:sz w:val="32"/>
          <w:szCs w:val="32"/>
        </w:rPr>
        <w:t>按照“一干多支、五区协同”战略部署和全省农产品产销布局，</w:t>
      </w:r>
      <w:r>
        <w:rPr>
          <w:rStyle w:val="18"/>
          <w:rFonts w:hint="eastAsia" w:ascii="仿宋_GB2312" w:hAnsi="仿宋_GB2312" w:eastAsia="仿宋_GB2312" w:cs="仿宋_GB2312"/>
          <w:b/>
          <w:bCs/>
          <w:sz w:val="32"/>
          <w:szCs w:val="32"/>
        </w:rPr>
        <w:t>结合供销商贸综合体建设，</w:t>
      </w:r>
      <w:r>
        <w:rPr>
          <w:rFonts w:hint="eastAsia" w:ascii="仿宋_GB2312" w:hAnsi="Calibri" w:eastAsia="仿宋_GB2312"/>
          <w:b/>
          <w:bCs/>
          <w:sz w:val="32"/>
          <w:szCs w:val="32"/>
        </w:rPr>
        <w:t>采取政府引导、分级实施、市场运作的方式，建设全省公共型农产品现代冷链物流骨干网。在成都建设骨干网智慧运营中心，提供全省智慧冷链物流信息咨询、资源调配、产业金融等服务。加强农产品冷链产地网建设，在省内片区节点城市建设区域枢纽中心仓；在特色农产品优势产区和生鲜农产品主产区，按照“1个县域产地农产品冷链物流中心+N个田头保鲜仓”模式，建设县域公共型产地预冷物流设施，提供农产品采后预冷、仓储保鲜、冷链配送等综合服务，提高产地商品化处理和错峰销售能力。对接省内区域中心城市组建农产品销地网，建设以中央厨房、生鲜电商等业务为重点的城市销地冷链物流中心。强化骨干网与国家骨干冷链物流基地的协调衔接,将骨干网建设纳入“十四五”全省现代农业烘干冷链物流规划。支持各级政府建立骨干网建设激励机制，在政府专项债券风险可控的条件下通过专项债券支持符合条件的农产品现代冷链物流骨干网项目建设。各地要统筹做好骨干网冷链物流设施建设布局与国土空间等相关规划衔接，保持合理用地需求，支持符合条件的骨干网冷链仓储用地，按规定享受城镇土地使用税优惠政策。鼓励各地因地制宜出台支持城市配送冷藏车便利通行的政策。〔责任单位：省供销社，省发展改革委、财政厅、自然资源厅、农业农村厅、商务厅、省政府口岸物流办、省税务局等〕</w:t>
      </w:r>
    </w:p>
    <w:p>
      <w:pPr>
        <w:pStyle w:val="20"/>
        <w:numPr>
          <w:ilvl w:val="0"/>
          <w:numId w:val="1"/>
        </w:numPr>
        <w:tabs>
          <w:tab w:val="left" w:pos="1560"/>
        </w:tabs>
        <w:adjustRightInd w:val="0"/>
        <w:snapToGrid w:val="0"/>
        <w:spacing w:line="560" w:lineRule="atLeast"/>
        <w:ind w:left="0" w:firstLine="621" w:firstLineChars="0"/>
        <w:rPr>
          <w:rStyle w:val="18"/>
          <w:rFonts w:hAnsi="仿宋_GB2312" w:cs="仿宋_GB2312"/>
        </w:rPr>
      </w:pPr>
      <w:r>
        <w:rPr>
          <w:rStyle w:val="18"/>
          <w:rFonts w:hint="eastAsia" w:ascii="楷体_GB2312" w:hAnsi="仿宋_GB2312" w:eastAsia="楷体_GB2312" w:cs="仿宋_GB2312"/>
          <w:b/>
          <w:bCs/>
          <w:sz w:val="32"/>
          <w:szCs w:val="32"/>
        </w:rPr>
        <w:t>建设数字供销网。</w:t>
      </w:r>
      <w:r>
        <w:rPr>
          <w:rStyle w:val="18"/>
          <w:rFonts w:hint="eastAsia" w:ascii="仿宋_GB2312" w:hAnsi="仿宋_GB2312" w:eastAsia="仿宋_GB2312" w:cs="仿宋_GB2312"/>
          <w:b/>
          <w:bCs/>
          <w:sz w:val="32"/>
          <w:szCs w:val="32"/>
        </w:rPr>
        <w:t>推进供销合作社系统行业管理、企业经营管理、供销产业服务数字化改造，构建全省供销社系统线上“一张网”。建设全省供销社行业管理数字平台，对农资质量监测、社有资产监管、项目建设、基层供销社运行等实施在线动态管理。加强社有企业经营管理数字平台建设，推进社有龙头企业供应链业务数字化改造，提升与上下游小农户、中小商户的交易效率。整合全省供销社农资、农产品、日用消费品批发零售、仓储配送、冷链物流等业务和线下服务网络，建设产业衔接、服务集成、生态共享的产业服务数字平台，提升供销社系统零售网点的客户洞察、精准选品、规模采购、精细运营、数据挖掘等能力，实现供销业务在线化、数字化、可视化。〔责任单位：省供销社，经济和信息化厅、商务厅、省大数据中心等〕。</w:t>
      </w:r>
    </w:p>
    <w:p>
      <w:pPr>
        <w:numPr>
          <w:ilvl w:val="0"/>
          <w:numId w:val="2"/>
        </w:numPr>
        <w:adjustRightInd w:val="0"/>
        <w:snapToGrid w:val="0"/>
        <w:spacing w:line="560" w:lineRule="atLeast"/>
        <w:ind w:firstLine="622" w:firstLineChars="200"/>
        <w:jc w:val="left"/>
        <w:rPr>
          <w:rFonts w:ascii="黑体" w:hAnsi="黑体" w:eastAsia="黑体" w:cs="黑体"/>
          <w:b/>
          <w:bCs/>
          <w:sz w:val="32"/>
          <w:szCs w:val="32"/>
        </w:rPr>
      </w:pPr>
      <w:r>
        <w:rPr>
          <w:rFonts w:hint="eastAsia" w:ascii="黑体" w:hAnsi="黑体" w:eastAsia="黑体" w:cs="黑体"/>
          <w:b/>
          <w:bCs/>
          <w:sz w:val="32"/>
          <w:szCs w:val="32"/>
        </w:rPr>
        <w:t>提升服务能力</w:t>
      </w:r>
    </w:p>
    <w:p>
      <w:pPr>
        <w:pStyle w:val="20"/>
        <w:numPr>
          <w:ilvl w:val="0"/>
          <w:numId w:val="1"/>
        </w:numPr>
        <w:tabs>
          <w:tab w:val="left" w:pos="1560"/>
        </w:tabs>
        <w:adjustRightInd w:val="0"/>
        <w:snapToGrid w:val="0"/>
        <w:spacing w:line="560" w:lineRule="atLeast"/>
        <w:ind w:left="0" w:firstLine="621" w:firstLineChars="0"/>
        <w:jc w:val="left"/>
        <w:rPr>
          <w:rStyle w:val="18"/>
          <w:rFonts w:ascii="仿宋_GB2312" w:hAnsi="仿宋_GB2312" w:eastAsia="仿宋_GB2312" w:cs="仿宋_GB2312"/>
          <w:b/>
          <w:bCs/>
          <w:sz w:val="32"/>
          <w:szCs w:val="32"/>
        </w:rPr>
      </w:pPr>
      <w:r>
        <w:rPr>
          <w:rStyle w:val="18"/>
          <w:rFonts w:hint="eastAsia" w:ascii="楷体_GB2312" w:hAnsi="仿宋_GB2312" w:eastAsia="楷体_GB2312" w:cs="仿宋_GB2312"/>
          <w:b/>
          <w:bCs/>
          <w:sz w:val="32"/>
          <w:szCs w:val="32"/>
        </w:rPr>
        <w:t>提升农业生产社会化服务水平。</w:t>
      </w:r>
      <w:r>
        <w:rPr>
          <w:rStyle w:val="18"/>
          <w:rFonts w:hint="eastAsia" w:ascii="仿宋_GB2312" w:hAnsi="仿宋_GB2312" w:eastAsia="仿宋_GB2312" w:cs="仿宋_GB2312"/>
          <w:b/>
          <w:bCs/>
          <w:sz w:val="32"/>
          <w:szCs w:val="32"/>
        </w:rPr>
        <w:t>聚焦保障粮食安全和农业稳产增产，发挥供销合作社农资供应主渠道作用，落实农资保供任务，强化农资技物结合服务。深入实施“绿色农资”行动，加大绿色高效环保优质农资生产、采购和供应力度。区分不同地区、不同作物、不同经营主体，订制化开展土地托管服务。对粮、油等大田作物开展生产环节关键技术托管服务；对川茶、川果、川菜、川药等大宗农作物和名优特农产品生产基地提供高效节水灌溉和“五良”（良种、良法、良机、良壤、良制）技术推广服务。强化对小农户农资农技农机的产品需求指导及合作研发、标准化使用及科技知识更新培训等服务，促进绿色化、标准化生产。延伸农业社会化服务链，加强对农产品产地贮藏、冷链物流、集中烘干、加工、销售等服务。支持社有企业和基层供销社承接农业生产社会化服务财政专项资金项目，主要对农户提供农业社会化服务。〔责任单位：省供销社，农业农村厅、水利厅、省林草局、省农科院等〕</w:t>
      </w:r>
    </w:p>
    <w:p>
      <w:pPr>
        <w:pStyle w:val="20"/>
        <w:numPr>
          <w:ilvl w:val="0"/>
          <w:numId w:val="1"/>
        </w:numPr>
        <w:tabs>
          <w:tab w:val="left" w:pos="1560"/>
        </w:tabs>
        <w:adjustRightInd w:val="0"/>
        <w:snapToGrid w:val="0"/>
        <w:spacing w:line="560" w:lineRule="atLeast"/>
        <w:ind w:left="0" w:firstLine="621" w:firstLineChars="0"/>
        <w:jc w:val="left"/>
        <w:rPr>
          <w:rStyle w:val="18"/>
          <w:rFonts w:ascii="仿宋_GB2312" w:hAnsi="仿宋_GB2312" w:eastAsia="仿宋_GB2312" w:cs="仿宋_GB2312"/>
          <w:b/>
          <w:bCs/>
          <w:sz w:val="32"/>
          <w:szCs w:val="32"/>
        </w:rPr>
      </w:pPr>
      <w:r>
        <w:rPr>
          <w:rStyle w:val="18"/>
          <w:rFonts w:hint="eastAsia" w:ascii="楷体_GB2312" w:hAnsi="仿宋_GB2312" w:eastAsia="楷体_GB2312"/>
          <w:b/>
          <w:bCs/>
          <w:sz w:val="32"/>
          <w:szCs w:val="32"/>
        </w:rPr>
        <w:t>拓展“川字号”特色优质农产品产销服务。</w:t>
      </w:r>
      <w:r>
        <w:rPr>
          <w:rStyle w:val="18"/>
          <w:rFonts w:hint="eastAsia" w:ascii="仿宋_GB2312" w:hAnsi="仿宋_GB2312" w:eastAsia="仿宋_GB2312" w:cs="仿宋_GB2312"/>
          <w:b/>
          <w:bCs/>
          <w:sz w:val="32"/>
          <w:szCs w:val="32"/>
        </w:rPr>
        <w:t>建立供销合作社系统“川字号”特色优质农产品标准化认证、优选体系，培育产品品牌和企业品牌，打造一批“川字号”特色优质农产品直供基地，做好收储加工、冷链物流、市场交易、终端配送等服务。鼓励各级党政机关、国有企事业单位及工会组织采购供销合作社销售的特色优质农产品。〔责任单位：省供销社，财政厅、商务厅、农业农村厅、省市场监管局、省总工会等〕</w:t>
      </w:r>
    </w:p>
    <w:p>
      <w:pPr>
        <w:pStyle w:val="20"/>
        <w:numPr>
          <w:ilvl w:val="0"/>
          <w:numId w:val="1"/>
        </w:numPr>
        <w:tabs>
          <w:tab w:val="left" w:pos="1560"/>
        </w:tabs>
        <w:adjustRightInd w:val="0"/>
        <w:snapToGrid w:val="0"/>
        <w:spacing w:line="560" w:lineRule="atLeast"/>
        <w:ind w:left="0" w:firstLine="621" w:firstLineChars="0"/>
        <w:rPr>
          <w:rStyle w:val="18"/>
          <w:rFonts w:ascii="仿宋_GB2312" w:hAnsi="仿宋_GB2312" w:eastAsia="仿宋_GB2312" w:cs="仿宋_GB2312"/>
          <w:b/>
          <w:bCs/>
          <w:sz w:val="32"/>
          <w:szCs w:val="32"/>
        </w:rPr>
      </w:pPr>
      <w:r>
        <w:rPr>
          <w:rStyle w:val="18"/>
          <w:rFonts w:hint="eastAsia" w:ascii="楷体_GB2312" w:hAnsi="仿宋_GB2312" w:eastAsia="楷体_GB2312" w:cs="仿宋_GB2312"/>
          <w:b/>
          <w:bCs/>
          <w:sz w:val="32"/>
          <w:szCs w:val="32"/>
        </w:rPr>
        <w:t>大力开展消费帮扶。</w:t>
      </w:r>
      <w:r>
        <w:rPr>
          <w:rFonts w:hint="eastAsia" w:ascii="仿宋_GB2312" w:hAnsi="仿宋_GB2312" w:eastAsia="仿宋_GB2312" w:cs="仿宋_GB2312"/>
          <w:b/>
          <w:bCs/>
          <w:sz w:val="32"/>
          <w:szCs w:val="32"/>
        </w:rPr>
        <w:t>支持供销合作社抓好“天府乡村”公益品牌标识申报使用的日常审核和系统运维工作，建设四川消费帮扶网，并结合“832”平台、“政采云”四川乡村振兴馆等消费帮扶渠道，建设产销地云仓，深化东西部协作和对口支援，拓宽脱贫地区农副产品销售渠道。</w:t>
      </w:r>
      <w:r>
        <w:rPr>
          <w:rStyle w:val="18"/>
          <w:rFonts w:hint="eastAsia" w:ascii="仿宋_GB2312" w:hAnsi="仿宋_GB2312" w:eastAsia="仿宋_GB2312" w:cs="仿宋_GB2312"/>
          <w:b/>
          <w:bCs/>
          <w:sz w:val="32"/>
          <w:szCs w:val="32"/>
        </w:rPr>
        <w:t>强化定向采购帮扶，采取“以购代销”“爱心认购”等方式销售滞销农副产品。〔责任单位：省发展改革委，省直机关工委、财政厅、商务厅、省机关事务管理局、省乡村振兴局、省供销社等〕</w:t>
      </w:r>
    </w:p>
    <w:p>
      <w:pPr>
        <w:pStyle w:val="20"/>
        <w:numPr>
          <w:ilvl w:val="0"/>
          <w:numId w:val="1"/>
        </w:numPr>
        <w:tabs>
          <w:tab w:val="left" w:pos="1560"/>
        </w:tabs>
        <w:adjustRightInd w:val="0"/>
        <w:snapToGrid w:val="0"/>
        <w:spacing w:line="560" w:lineRule="atLeast"/>
        <w:ind w:left="0" w:firstLine="621" w:firstLineChars="0"/>
        <w:rPr>
          <w:rStyle w:val="18"/>
          <w:rFonts w:ascii="仿宋_GB2312" w:hAnsi="仿宋_GB2312" w:eastAsia="仿宋_GB2312" w:cs="仿宋_GB2312"/>
          <w:b/>
          <w:bCs/>
          <w:sz w:val="32"/>
          <w:szCs w:val="32"/>
        </w:rPr>
      </w:pPr>
      <w:r>
        <w:rPr>
          <w:rStyle w:val="18"/>
          <w:rFonts w:hint="eastAsia" w:ascii="楷体_GB2312" w:hAnsi="仿宋_GB2312" w:eastAsia="楷体_GB2312" w:cs="仿宋_GB2312"/>
          <w:b/>
          <w:bCs/>
          <w:sz w:val="32"/>
          <w:szCs w:val="32"/>
        </w:rPr>
        <w:t>提升县域流通服务能力。</w:t>
      </w:r>
      <w:r>
        <w:rPr>
          <w:rStyle w:val="18"/>
          <w:rFonts w:hint="eastAsia" w:ascii="仿宋_GB2312" w:hAnsi="仿宋_GB2312" w:eastAsia="仿宋_GB2312" w:cs="仿宋_GB2312"/>
          <w:b/>
          <w:bCs/>
          <w:sz w:val="32"/>
          <w:szCs w:val="32"/>
        </w:rPr>
        <w:t>支持供销合作社参与县域商业体系建设，实施供销合作社县域流通服务网络建设提升行动，构建县有集采集配中心、乡镇有综合超市、村有综合服务社的县域流通服务网络。推动供销合作社商贸企业发展连锁经营，促进县域商业网络连锁化发展。深化供销合作社与邮政、快递、交通运输和商贸流通企业的联合合作，推动县域流通服务网络与农村电商、快递物流体系有效对接，发挥“一网多用、双向流通”服务功能。〔责任单位：商务厅，交通运输厅、农业农村厅、省乡村振兴局、省邮政管理局、省供销社等〕</w:t>
      </w:r>
    </w:p>
    <w:p>
      <w:pPr>
        <w:pStyle w:val="20"/>
        <w:numPr>
          <w:ilvl w:val="0"/>
          <w:numId w:val="1"/>
        </w:numPr>
        <w:tabs>
          <w:tab w:val="left" w:pos="1560"/>
        </w:tabs>
        <w:adjustRightInd w:val="0"/>
        <w:snapToGrid w:val="0"/>
        <w:spacing w:line="560" w:lineRule="atLeast"/>
        <w:ind w:left="0" w:firstLine="621" w:firstLineChars="0"/>
        <w:rPr>
          <w:rStyle w:val="18"/>
          <w:rFonts w:ascii="仿宋_GB2312" w:hAnsi="仿宋_GB2312" w:eastAsia="仿宋_GB2312" w:cs="仿宋_GB2312"/>
          <w:b/>
          <w:bCs/>
          <w:sz w:val="32"/>
          <w:szCs w:val="32"/>
        </w:rPr>
      </w:pPr>
      <w:r>
        <w:rPr>
          <w:rStyle w:val="18"/>
          <w:rFonts w:hint="eastAsia" w:ascii="楷体_GB2312" w:hAnsi="仿宋_GB2312" w:eastAsia="楷体_GB2312" w:cs="仿宋_GB2312"/>
          <w:b/>
          <w:bCs/>
          <w:sz w:val="32"/>
          <w:szCs w:val="32"/>
        </w:rPr>
        <w:t>增强应急供应服务能力。</w:t>
      </w:r>
      <w:r>
        <w:rPr>
          <w:rStyle w:val="18"/>
          <w:rFonts w:hint="eastAsia" w:ascii="仿宋_GB2312" w:hAnsi="仿宋_GB2312" w:eastAsia="仿宋_GB2312" w:cs="仿宋_GB2312"/>
          <w:b/>
          <w:bCs/>
          <w:sz w:val="32"/>
          <w:szCs w:val="32"/>
        </w:rPr>
        <w:t>支持供销合作社整合系统仓储物流资源，建设县域生活生产物资应急储备中心，承担化肥、棉花、农药等重要商品储备任务。将符合条件的供销合作社流通企业纳入各级应急保供骨干队伍名录，赋予重要商品物资保供稳价任务。〔责任单位：省供销社，省发展改革委、财政厅、农业农村厅、商务厅、应急厅等〕</w:t>
      </w:r>
    </w:p>
    <w:p>
      <w:pPr>
        <w:pStyle w:val="20"/>
        <w:numPr>
          <w:ilvl w:val="0"/>
          <w:numId w:val="1"/>
        </w:numPr>
        <w:tabs>
          <w:tab w:val="left" w:pos="1560"/>
        </w:tabs>
        <w:adjustRightInd w:val="0"/>
        <w:snapToGrid w:val="0"/>
        <w:spacing w:line="560" w:lineRule="atLeast"/>
        <w:ind w:left="0" w:firstLine="621" w:firstLineChars="0"/>
        <w:rPr>
          <w:rStyle w:val="18"/>
          <w:rFonts w:ascii="仿宋_GB2312" w:hAnsi="仿宋_GB2312" w:eastAsia="仿宋_GB2312" w:cs="仿宋_GB2312"/>
          <w:b/>
          <w:bCs/>
          <w:sz w:val="32"/>
          <w:szCs w:val="32"/>
        </w:rPr>
      </w:pPr>
      <w:r>
        <w:rPr>
          <w:rStyle w:val="18"/>
          <w:rFonts w:hint="eastAsia" w:ascii="楷体_GB2312" w:hAnsi="仿宋_GB2312" w:eastAsia="楷体_GB2312" w:cs="仿宋_GB2312"/>
          <w:b/>
          <w:bCs/>
          <w:sz w:val="32"/>
          <w:szCs w:val="32"/>
        </w:rPr>
        <w:t>拓展城乡社区综合服务。</w:t>
      </w:r>
      <w:r>
        <w:rPr>
          <w:rStyle w:val="18"/>
          <w:rFonts w:hint="eastAsia" w:ascii="仿宋_GB2312" w:hAnsi="仿宋_GB2312" w:eastAsia="仿宋_GB2312" w:cs="仿宋_GB2312"/>
          <w:b/>
          <w:bCs/>
          <w:sz w:val="32"/>
          <w:szCs w:val="32"/>
        </w:rPr>
        <w:t>利用供销合作社农村综合服务社、城乡社区服务中心，为城乡居民提供农产品和日用消费品供应、文体娱乐、养老幼教、就业培训等多样化服务。鼓励供销合作社盘活社区资产资源，组织社区居民组建消费合作社，提升社区居民消费质量，推动社区经济发展。〔责任单位：省供销社，省委组织部、民政厅、人力资源社会保障厅、农业农村厅、商务厅、省市场监管局等〕</w:t>
      </w:r>
    </w:p>
    <w:p>
      <w:pPr>
        <w:pStyle w:val="20"/>
        <w:numPr>
          <w:ilvl w:val="0"/>
          <w:numId w:val="1"/>
        </w:numPr>
        <w:tabs>
          <w:tab w:val="left" w:pos="1560"/>
        </w:tabs>
        <w:adjustRightInd w:val="0"/>
        <w:snapToGrid w:val="0"/>
        <w:spacing w:line="560" w:lineRule="atLeast"/>
        <w:ind w:left="0" w:firstLine="621" w:firstLineChars="0"/>
        <w:rPr>
          <w:rStyle w:val="18"/>
          <w:rFonts w:ascii="仿宋_GB2312" w:hAnsi="仿宋_GB2312" w:eastAsia="仿宋_GB2312" w:cs="仿宋_GB2312"/>
          <w:b/>
          <w:bCs/>
          <w:sz w:val="32"/>
          <w:szCs w:val="32"/>
        </w:rPr>
      </w:pPr>
      <w:r>
        <w:rPr>
          <w:rStyle w:val="18"/>
          <w:rFonts w:hint="eastAsia" w:ascii="楷体_GB2312" w:hAnsi="仿宋_GB2312" w:eastAsia="楷体_GB2312" w:cs="仿宋_GB2312"/>
          <w:b/>
          <w:bCs/>
          <w:sz w:val="32"/>
          <w:szCs w:val="32"/>
        </w:rPr>
        <w:t>加快再生资源回收利用体系建设。</w:t>
      </w:r>
      <w:r>
        <w:rPr>
          <w:rStyle w:val="18"/>
          <w:rFonts w:hint="eastAsia" w:ascii="仿宋_GB2312" w:hAnsi="仿宋_GB2312" w:eastAsia="仿宋_GB2312" w:cs="仿宋_GB2312"/>
          <w:b/>
          <w:bCs/>
          <w:sz w:val="32"/>
          <w:szCs w:val="32"/>
        </w:rPr>
        <w:t>支持供销合作社承接政府购买服务，做好农业生产废弃物回收利用，加强再生资源回收网点、分拣中心和集散交易市场建设，推进农村再生资源回收利用与农村环卫清运“两网”融合。支持符合条件的社有企业建立绿色分拣中心，开展报废机动车回收业务，推动再生资源企业从“废品买卖型”向“环境服务型”转型升级。〔责任单位：商务厅，财政厅、生态环境厅、住房城乡建设厅、农业农村厅、省供销社等〕</w:t>
      </w:r>
    </w:p>
    <w:p>
      <w:pPr>
        <w:numPr>
          <w:ilvl w:val="0"/>
          <w:numId w:val="2"/>
        </w:numPr>
        <w:adjustRightInd w:val="0"/>
        <w:snapToGrid w:val="0"/>
        <w:spacing w:line="560" w:lineRule="atLeast"/>
        <w:ind w:firstLine="622" w:firstLineChars="200"/>
        <w:jc w:val="left"/>
        <w:rPr>
          <w:rFonts w:ascii="黑体" w:hAnsi="黑体" w:eastAsia="黑体"/>
          <w:b/>
          <w:bCs/>
          <w:sz w:val="32"/>
          <w:szCs w:val="32"/>
        </w:rPr>
      </w:pPr>
      <w:r>
        <w:rPr>
          <w:rFonts w:hint="eastAsia" w:ascii="黑体" w:hAnsi="黑体" w:eastAsia="黑体"/>
          <w:b/>
          <w:bCs/>
          <w:sz w:val="32"/>
          <w:szCs w:val="32"/>
        </w:rPr>
        <w:t>完善服务机制</w:t>
      </w:r>
    </w:p>
    <w:p>
      <w:pPr>
        <w:pStyle w:val="20"/>
        <w:numPr>
          <w:ilvl w:val="0"/>
          <w:numId w:val="1"/>
        </w:numPr>
        <w:tabs>
          <w:tab w:val="left" w:pos="1985"/>
        </w:tabs>
        <w:adjustRightInd w:val="0"/>
        <w:snapToGrid w:val="0"/>
        <w:spacing w:line="560" w:lineRule="atLeast"/>
        <w:ind w:left="0" w:firstLine="621" w:firstLineChars="0"/>
        <w:rPr>
          <w:rStyle w:val="18"/>
          <w:rFonts w:ascii="仿宋_GB2312" w:hAnsi="仿宋_GB2312" w:eastAsia="仿宋_GB2312" w:cs="仿宋_GB2312"/>
          <w:b/>
          <w:bCs/>
          <w:sz w:val="32"/>
          <w:szCs w:val="32"/>
        </w:rPr>
      </w:pPr>
      <w:r>
        <w:rPr>
          <w:rStyle w:val="18"/>
          <w:rFonts w:hint="eastAsia" w:ascii="楷体_GB2312" w:hAnsi="仿宋_GB2312" w:eastAsia="楷体_GB2312" w:cs="仿宋_GB2312"/>
          <w:b/>
          <w:bCs/>
          <w:sz w:val="32"/>
          <w:szCs w:val="32"/>
        </w:rPr>
        <w:t>提升基层供销社联农带农能力。</w:t>
      </w:r>
      <w:r>
        <w:rPr>
          <w:rStyle w:val="18"/>
          <w:rFonts w:hint="eastAsia" w:ascii="仿宋_GB2312" w:hAnsi="仿宋_GB2312" w:eastAsia="仿宋_GB2312" w:cs="仿宋_GB2312"/>
          <w:b/>
          <w:bCs/>
          <w:sz w:val="32"/>
          <w:szCs w:val="32"/>
        </w:rPr>
        <w:t>以基层供销社为主要载体，推进供销合作社、农村集体经济组织、农民专业合作社“三社”联合发展，助力全面乡村振兴。广泛吸纳小农户、个体工商户和各类新型农业经营主体加入供销合作社。推进县级联合社与基层供销社一体化发展，强化县级联合社对基层供销社资产的统筹运营能力。支持基层供销社作为相关涉农政策和项目的实施主体，承担公益性服务。〔责任单位：省供销社，省委组织部、民政厅、财政厅、农业农村厅、省市场监管局等〕</w:t>
      </w:r>
    </w:p>
    <w:p>
      <w:pPr>
        <w:pStyle w:val="20"/>
        <w:numPr>
          <w:ilvl w:val="0"/>
          <w:numId w:val="1"/>
        </w:numPr>
        <w:tabs>
          <w:tab w:val="left" w:pos="1985"/>
        </w:tabs>
        <w:adjustRightInd w:val="0"/>
        <w:snapToGrid w:val="0"/>
        <w:spacing w:line="560" w:lineRule="atLeast"/>
        <w:ind w:left="0" w:firstLine="621" w:firstLineChars="0"/>
        <w:rPr>
          <w:rStyle w:val="18"/>
          <w:rFonts w:ascii="仿宋_GB2312" w:hAnsi="仿宋_GB2312" w:eastAsia="仿宋_GB2312" w:cs="仿宋_GB2312"/>
          <w:b/>
          <w:bCs/>
          <w:sz w:val="32"/>
          <w:szCs w:val="32"/>
        </w:rPr>
      </w:pPr>
      <w:r>
        <w:rPr>
          <w:rStyle w:val="18"/>
          <w:rFonts w:hint="eastAsia" w:ascii="楷体_GB2312" w:hAnsi="仿宋_GB2312" w:eastAsia="楷体_GB2312" w:cs="仿宋_GB2312"/>
          <w:b/>
          <w:bCs/>
          <w:sz w:val="32"/>
          <w:szCs w:val="32"/>
        </w:rPr>
        <w:t>强化社有企业为农服务龙头带动作用。</w:t>
      </w:r>
      <w:r>
        <w:rPr>
          <w:rStyle w:val="18"/>
          <w:rFonts w:hint="eastAsia" w:ascii="仿宋_GB2312" w:hAnsi="仿宋_GB2312" w:eastAsia="仿宋_GB2312" w:cs="仿宋_GB2312"/>
          <w:b/>
          <w:bCs/>
          <w:sz w:val="32"/>
          <w:szCs w:val="32"/>
        </w:rPr>
        <w:t>聚焦为农服务主责主业，优化社有企业经营布局，推进社有企业纵向横向联合合作，在为农服务重点领域培育一批龙头企业。支持社有企业牵头发展行业协会，增强各类行业协会的服务功能。推动社有资产证券化，支持符合条件的社有企业上市发展。市、县各级人民政府要支持发展社有企业，消除社有企业空白。供销合作社全资及控股企业参照国有企业享受有关支持政策。〔责任单位：省供销社，财政厅、自然资源厅、住房城乡建设厅、省市场监管局、省税务局、四川证监局等〕</w:t>
      </w:r>
    </w:p>
    <w:p>
      <w:pPr>
        <w:pStyle w:val="20"/>
        <w:numPr>
          <w:ilvl w:val="0"/>
          <w:numId w:val="1"/>
        </w:numPr>
        <w:tabs>
          <w:tab w:val="left" w:pos="1560"/>
        </w:tabs>
        <w:adjustRightInd w:val="0"/>
        <w:snapToGrid w:val="0"/>
        <w:spacing w:line="560" w:lineRule="atLeast"/>
        <w:ind w:left="0" w:firstLine="621" w:firstLineChars="0"/>
        <w:rPr>
          <w:rStyle w:val="18"/>
          <w:rFonts w:ascii="仿宋_GB2312" w:hAnsi="仿宋_GB2312" w:eastAsia="仿宋_GB2312" w:cs="仿宋_GB2312"/>
          <w:b/>
          <w:bCs/>
          <w:sz w:val="32"/>
          <w:szCs w:val="32"/>
        </w:rPr>
      </w:pPr>
      <w:r>
        <w:rPr>
          <w:rStyle w:val="18"/>
          <w:rFonts w:hint="eastAsia" w:ascii="楷体_GB2312" w:hAnsi="仿宋_GB2312" w:eastAsia="楷体_GB2312" w:cs="仿宋_GB2312"/>
          <w:b/>
          <w:bCs/>
          <w:sz w:val="32"/>
          <w:szCs w:val="32"/>
        </w:rPr>
        <w:t>深入推进“三位一体”综合合作。</w:t>
      </w:r>
      <w:r>
        <w:rPr>
          <w:rStyle w:val="18"/>
          <w:rFonts w:hint="eastAsia" w:ascii="仿宋_GB2312" w:hAnsi="仿宋_GB2312" w:eastAsia="仿宋_GB2312" w:cs="仿宋_GB2312"/>
          <w:b/>
          <w:bCs/>
          <w:sz w:val="32"/>
          <w:szCs w:val="32"/>
        </w:rPr>
        <w:t>发挥供销合作社在农村合作经济组织中的引领示范作用，开展生产合作、供销合作、信用合作“三位一体”综合合作试点。做强供销合作发展基金，强化对基层供销社建设和为农服务领域的项目支持。畅通金融机构资金下沉通道，支持供销合作社联合金融机构、征信机构开展助贷服务，共建农村信用体系。鼓励金融机构为供销合作社承担农资、棉花等重要商品和抗灾救灾物资储备任务、冷链骨干网等重点建设项目提供融资，鼓励融资担保公司、农业保险公司为供销合作社提供融资担保、农业保险等金融服务。〔责任单位：省供销社，省委农办、财政厅、省地方金融监管局、人行成都分行、四川银保监局等〕</w:t>
      </w:r>
    </w:p>
    <w:p>
      <w:pPr>
        <w:adjustRightInd w:val="0"/>
        <w:snapToGrid w:val="0"/>
        <w:spacing w:line="560" w:lineRule="atLeast"/>
        <w:ind w:firstLine="622" w:firstLineChars="200"/>
        <w:rPr>
          <w:rFonts w:ascii="仿宋_GB2312" w:hAnsi="仿宋_GB2312" w:eastAsia="黑体" w:cs="仿宋_GB2312"/>
          <w:b/>
          <w:bCs/>
          <w:sz w:val="32"/>
          <w:szCs w:val="32"/>
        </w:rPr>
      </w:pPr>
      <w:r>
        <w:rPr>
          <w:rFonts w:hint="eastAsia" w:ascii="黑体" w:hAnsi="黑体" w:eastAsia="黑体" w:cs="仿宋_GB2312"/>
          <w:b/>
          <w:bCs/>
          <w:sz w:val="32"/>
          <w:szCs w:val="32"/>
        </w:rPr>
        <w:t>五、保障措施</w:t>
      </w:r>
    </w:p>
    <w:p>
      <w:pPr>
        <w:pStyle w:val="20"/>
        <w:numPr>
          <w:ilvl w:val="0"/>
          <w:numId w:val="1"/>
        </w:numPr>
        <w:tabs>
          <w:tab w:val="left" w:pos="1985"/>
        </w:tabs>
        <w:adjustRightInd w:val="0"/>
        <w:snapToGrid w:val="0"/>
        <w:spacing w:line="560" w:lineRule="atLeast"/>
        <w:ind w:left="0" w:firstLine="621" w:firstLineChars="0"/>
        <w:rPr>
          <w:rStyle w:val="18"/>
          <w:rFonts w:ascii="仿宋_GB2312" w:hAnsi="仿宋_GB2312" w:eastAsia="仿宋_GB2312" w:cs="仿宋_GB2312"/>
          <w:b/>
          <w:bCs/>
          <w:sz w:val="32"/>
          <w:szCs w:val="32"/>
        </w:rPr>
      </w:pPr>
      <w:r>
        <w:rPr>
          <w:rStyle w:val="18"/>
          <w:rFonts w:hint="eastAsia" w:ascii="楷体_GB2312" w:hAnsi="仿宋_GB2312" w:eastAsia="楷体_GB2312" w:cs="仿宋_GB2312"/>
          <w:b/>
          <w:bCs/>
          <w:sz w:val="32"/>
          <w:szCs w:val="32"/>
        </w:rPr>
        <w:t>加强组织领导。</w:t>
      </w:r>
      <w:r>
        <w:rPr>
          <w:rStyle w:val="18"/>
          <w:rFonts w:hint="eastAsia" w:ascii="仿宋_GB2312" w:hAnsi="仿宋_GB2312" w:eastAsia="仿宋_GB2312" w:cs="仿宋_GB2312"/>
          <w:b/>
          <w:bCs/>
          <w:sz w:val="32"/>
          <w:szCs w:val="32"/>
        </w:rPr>
        <w:t>供销合作社是党领导下的为农服务的综合性合作经济组织。各级党委、政府要围绕巩固党在农村执政基础、加快推进农业农村现代化，继续办好供销合作社，把供销合作事业纳入国民经济和社会发展规划及年度计划，作为“三农”工作重要任务统筹推进。加强各级供销合作社联合社机关建设，优化机构设置和职能配置，配强工作力量，落实工作职能。乡镇党委、政府要落实抓供销合作社工作的责任，组织推动供销合作社与农村集体经济组织、农民专业合作社联合发展。</w:t>
      </w:r>
    </w:p>
    <w:p>
      <w:pPr>
        <w:pStyle w:val="20"/>
        <w:numPr>
          <w:ilvl w:val="0"/>
          <w:numId w:val="1"/>
        </w:numPr>
        <w:tabs>
          <w:tab w:val="left" w:pos="1985"/>
        </w:tabs>
        <w:adjustRightInd w:val="0"/>
        <w:snapToGrid w:val="0"/>
        <w:spacing w:line="560" w:lineRule="atLeast"/>
        <w:ind w:left="0" w:firstLine="621" w:firstLineChars="0"/>
        <w:rPr>
          <w:rStyle w:val="18"/>
          <w:rFonts w:ascii="仿宋_GB2312" w:hAnsi="仿宋_GB2312" w:eastAsia="仿宋_GB2312" w:cs="仿宋_GB2312"/>
          <w:b/>
          <w:bCs/>
          <w:sz w:val="32"/>
          <w:szCs w:val="32"/>
        </w:rPr>
      </w:pPr>
      <w:r>
        <w:rPr>
          <w:rStyle w:val="18"/>
          <w:rFonts w:hint="eastAsia" w:ascii="楷体_GB2312" w:hAnsi="仿宋_GB2312" w:eastAsia="楷体_GB2312" w:cs="仿宋_GB2312"/>
          <w:b/>
          <w:bCs/>
          <w:sz w:val="32"/>
          <w:szCs w:val="32"/>
        </w:rPr>
        <w:t>强化政策支持。</w:t>
      </w:r>
      <w:r>
        <w:rPr>
          <w:rStyle w:val="18"/>
          <w:rFonts w:hint="eastAsia" w:ascii="仿宋_GB2312" w:hAnsi="仿宋_GB2312" w:eastAsia="仿宋_GB2312" w:cs="仿宋_GB2312"/>
          <w:b/>
          <w:bCs/>
          <w:sz w:val="32"/>
          <w:szCs w:val="32"/>
        </w:rPr>
        <w:t>各地、各部门要科学统筹安排涉农项目资金，支持为农服务综合平台建设。发展改革、财政、自然资源、农业农村、商务、乡村振兴等部门，对符合国家和省有关要求的项目，在资金、用地等方面对为农服务综合平台建设给予倾斜。市（州）、县（市、区）财政参照省财政，安排供销合作社综合改革及发展专项资金。各级政府要妥善解决供销合作社财务挂账、金融债务、社有企业职工社会保障、社有资产权属等历史遗留问题。</w:t>
      </w:r>
    </w:p>
    <w:p>
      <w:pPr>
        <w:pStyle w:val="20"/>
        <w:numPr>
          <w:ilvl w:val="0"/>
          <w:numId w:val="1"/>
        </w:numPr>
        <w:tabs>
          <w:tab w:val="left" w:pos="1985"/>
        </w:tabs>
        <w:adjustRightInd w:val="0"/>
        <w:snapToGrid w:val="0"/>
        <w:spacing w:line="560" w:lineRule="atLeast"/>
        <w:ind w:left="0" w:firstLine="621" w:firstLineChars="0"/>
        <w:rPr>
          <w:rStyle w:val="18"/>
          <w:rFonts w:ascii="仿宋_GB2312" w:hAnsi="仿宋_GB2312" w:eastAsia="仿宋_GB2312" w:cs="仿宋_GB2312"/>
          <w:b/>
          <w:bCs/>
          <w:sz w:val="32"/>
          <w:szCs w:val="32"/>
        </w:rPr>
      </w:pPr>
      <w:r>
        <w:rPr>
          <w:rStyle w:val="18"/>
          <w:rFonts w:hint="eastAsia" w:ascii="楷体_GB2312" w:hAnsi="仿宋_GB2312" w:eastAsia="楷体_GB2312" w:cs="仿宋_GB2312"/>
          <w:b/>
          <w:bCs/>
          <w:sz w:val="32"/>
          <w:szCs w:val="32"/>
        </w:rPr>
        <w:t>加强队伍建设。</w:t>
      </w:r>
      <w:r>
        <w:rPr>
          <w:rStyle w:val="18"/>
          <w:rFonts w:hint="eastAsia" w:ascii="仿宋_GB2312" w:hAnsi="仿宋_GB2312" w:eastAsia="仿宋_GB2312" w:cs="仿宋_GB2312"/>
          <w:b/>
          <w:bCs/>
          <w:sz w:val="32"/>
          <w:szCs w:val="32"/>
        </w:rPr>
        <w:t>各地要加强供销合作社联合社领导班子建设，建立健全联合社代表大会、理事会、监事会制度。支持供销合作社探索建立具有合作经济组织特点的干部人事管理制度，着力解决人员老化、人才短缺的问题。在现有干部人事制度框架内，探索联合社机关、企事业单位、主管社会组织业务有效对接融合、人才合理使用流动的机制。深入推进供销合作社系统党风廉政建设，全面落实依法治社、从严治社要求，提升治理效能，推进供销合作事业持续健康发展。</w:t>
      </w:r>
    </w:p>
    <w:p>
      <w:pPr>
        <w:pStyle w:val="20"/>
        <w:numPr>
          <w:ilvl w:val="0"/>
          <w:numId w:val="1"/>
        </w:numPr>
        <w:tabs>
          <w:tab w:val="left" w:pos="2268"/>
        </w:tabs>
        <w:adjustRightInd w:val="0"/>
        <w:snapToGrid w:val="0"/>
        <w:spacing w:line="560" w:lineRule="atLeast"/>
        <w:ind w:left="0" w:firstLine="621" w:firstLineChars="0"/>
        <w:rPr>
          <w:rFonts w:ascii="仿宋_GB2312" w:hAnsi="宋体" w:eastAsia="仿宋_GB2312" w:cs="Arial"/>
          <w:b/>
          <w:bCs/>
          <w:sz w:val="32"/>
          <w:szCs w:val="32"/>
        </w:rPr>
      </w:pPr>
      <w:r>
        <w:rPr>
          <w:rStyle w:val="18"/>
          <w:rFonts w:hint="eastAsia" w:ascii="楷体_GB2312" w:hAnsi="仿宋_GB2312" w:eastAsia="楷体_GB2312" w:cs="仿宋_GB2312"/>
          <w:b/>
          <w:bCs/>
          <w:sz w:val="32"/>
          <w:szCs w:val="32"/>
        </w:rPr>
        <w:t>营造良好氛围。</w:t>
      </w:r>
      <w:r>
        <w:rPr>
          <w:rStyle w:val="18"/>
          <w:rFonts w:hint="eastAsia" w:ascii="仿宋_GB2312" w:hAnsi="仿宋_GB2312" w:eastAsia="仿宋_GB2312" w:cs="仿宋_GB2312"/>
          <w:b/>
          <w:bCs/>
          <w:sz w:val="32"/>
          <w:szCs w:val="32"/>
        </w:rPr>
        <w:t>要大力宣传供销合作事业发展的重大意义，宣传供销合作社综合改革的政策措施和实践成果，引导社会各界关心、支持供销合作社改革发展，讲好供销合作社故事，传播供销合作社声音，弘扬供销合作社文化，擦亮供销合作社“金字”招牌，营造合力推进供销合作事业发展的良好氛围。</w:t>
      </w:r>
    </w:p>
    <w:sectPr>
      <w:footerReference r:id="rId3" w:type="default"/>
      <w:pgSz w:w="11906" w:h="16838"/>
      <w:pgMar w:top="2098" w:right="1474" w:bottom="1985" w:left="1588" w:header="851" w:footer="1446" w:gutter="0"/>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97684"/>
    </w:sdtPr>
    <w:sdtEndPr>
      <w:rPr>
        <w:sz w:val="28"/>
        <w:szCs w:val="28"/>
      </w:rPr>
    </w:sdtEndPr>
    <w:sdtContent>
      <w:p>
        <w:pPr>
          <w:pStyle w:val="7"/>
          <w:jc w:val="center"/>
          <w:rPr>
            <w:sz w:val="28"/>
            <w:szCs w:val="28"/>
          </w:rPr>
        </w:pPr>
        <w:r>
          <w:rPr>
            <w:rFonts w:hint="eastAsia" w:asciiTheme="minorEastAsia" w:hAnsiTheme="minorEastAsia" w:eastAsiaTheme="minorEastAsia"/>
            <w:b/>
            <w:sz w:val="28"/>
            <w:szCs w:val="28"/>
          </w:rPr>
          <w:t>—</w:t>
        </w:r>
        <w:r>
          <w:rPr>
            <w:rFonts w:asciiTheme="minorEastAsia" w:hAnsiTheme="minorEastAsia" w:eastAsiaTheme="minorEastAsia"/>
            <w:b/>
            <w:sz w:val="28"/>
            <w:szCs w:val="28"/>
          </w:rPr>
          <w:fldChar w:fldCharType="begin"/>
        </w:r>
        <w:r>
          <w:rPr>
            <w:rFonts w:asciiTheme="minorEastAsia" w:hAnsiTheme="minorEastAsia" w:eastAsiaTheme="minorEastAsia"/>
            <w:b/>
            <w:sz w:val="28"/>
            <w:szCs w:val="28"/>
          </w:rPr>
          <w:instrText xml:space="preserve"> PAGE   \* MERGEFORMAT </w:instrText>
        </w:r>
        <w:r>
          <w:rPr>
            <w:rFonts w:asciiTheme="minorEastAsia" w:hAnsiTheme="minorEastAsia" w:eastAsiaTheme="minorEastAsia"/>
            <w:b/>
            <w:sz w:val="28"/>
            <w:szCs w:val="28"/>
          </w:rPr>
          <w:fldChar w:fldCharType="separate"/>
        </w:r>
        <w:r>
          <w:rPr>
            <w:rFonts w:asciiTheme="minorEastAsia" w:hAnsiTheme="minorEastAsia" w:eastAsiaTheme="minorEastAsia"/>
            <w:b/>
            <w:sz w:val="28"/>
            <w:szCs w:val="28"/>
            <w:lang w:val="zh-CN"/>
          </w:rPr>
          <w:t>1</w:t>
        </w:r>
        <w:r>
          <w:rPr>
            <w:rFonts w:asciiTheme="minorEastAsia" w:hAnsiTheme="minorEastAsia" w:eastAsiaTheme="minorEastAsia"/>
            <w:b/>
            <w:sz w:val="28"/>
            <w:szCs w:val="28"/>
          </w:rPr>
          <w:fldChar w:fldCharType="end"/>
        </w:r>
        <w:r>
          <w:rPr>
            <w:rFonts w:hint="eastAsia" w:asciiTheme="minorEastAsia" w:hAnsiTheme="minorEastAsia" w:eastAsiaTheme="minorEastAsia"/>
            <w:b/>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080" w:hanging="1080"/>
      </w:pPr>
      <w:rPr>
        <w:rFonts w:hint="eastAsia" w:ascii="楷体_GB2312" w:hAnsi="楷体_GB2312" w:eastAsia="楷体_GB2312" w:cs="楷体_GB2312"/>
        <w:b/>
        <w:bCs/>
        <w:color w:val="auto"/>
        <w:sz w:val="32"/>
        <w:szCs w:val="32"/>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5C184046"/>
    <w:multiLevelType w:val="singleLevel"/>
    <w:tmpl w:val="5C184046"/>
    <w:lvl w:ilvl="0" w:tentative="0">
      <w:start w:val="2"/>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E3"/>
    <w:rsid w:val="00000B8A"/>
    <w:rsid w:val="00000EEB"/>
    <w:rsid w:val="000019BC"/>
    <w:rsid w:val="00004A9E"/>
    <w:rsid w:val="00006A01"/>
    <w:rsid w:val="00007389"/>
    <w:rsid w:val="00013AF2"/>
    <w:rsid w:val="000141F9"/>
    <w:rsid w:val="0001425D"/>
    <w:rsid w:val="00015D20"/>
    <w:rsid w:val="00022263"/>
    <w:rsid w:val="00022C61"/>
    <w:rsid w:val="00025436"/>
    <w:rsid w:val="00026919"/>
    <w:rsid w:val="00030438"/>
    <w:rsid w:val="000317A7"/>
    <w:rsid w:val="00031FC6"/>
    <w:rsid w:val="000335E6"/>
    <w:rsid w:val="00035376"/>
    <w:rsid w:val="0003666A"/>
    <w:rsid w:val="00036858"/>
    <w:rsid w:val="000377D6"/>
    <w:rsid w:val="00040F1F"/>
    <w:rsid w:val="000414AD"/>
    <w:rsid w:val="0004684A"/>
    <w:rsid w:val="000469A0"/>
    <w:rsid w:val="000530B9"/>
    <w:rsid w:val="00053626"/>
    <w:rsid w:val="0005588F"/>
    <w:rsid w:val="0006162D"/>
    <w:rsid w:val="000701DD"/>
    <w:rsid w:val="00071F85"/>
    <w:rsid w:val="00076274"/>
    <w:rsid w:val="00077148"/>
    <w:rsid w:val="00077963"/>
    <w:rsid w:val="00087E0A"/>
    <w:rsid w:val="0009139C"/>
    <w:rsid w:val="00091B1E"/>
    <w:rsid w:val="000A38A8"/>
    <w:rsid w:val="000B1393"/>
    <w:rsid w:val="000B5EA4"/>
    <w:rsid w:val="000B672D"/>
    <w:rsid w:val="000B792D"/>
    <w:rsid w:val="000C0921"/>
    <w:rsid w:val="000C71E7"/>
    <w:rsid w:val="000C7C12"/>
    <w:rsid w:val="000D259C"/>
    <w:rsid w:val="000D33BC"/>
    <w:rsid w:val="000E03CD"/>
    <w:rsid w:val="000E1E73"/>
    <w:rsid w:val="000E2669"/>
    <w:rsid w:val="000E4E82"/>
    <w:rsid w:val="000E6114"/>
    <w:rsid w:val="000F030D"/>
    <w:rsid w:val="000F37B7"/>
    <w:rsid w:val="000F58ED"/>
    <w:rsid w:val="00103681"/>
    <w:rsid w:val="001049E3"/>
    <w:rsid w:val="001057EF"/>
    <w:rsid w:val="001103F9"/>
    <w:rsid w:val="001113D1"/>
    <w:rsid w:val="00114FD2"/>
    <w:rsid w:val="00116735"/>
    <w:rsid w:val="001168CF"/>
    <w:rsid w:val="001245C8"/>
    <w:rsid w:val="00126C86"/>
    <w:rsid w:val="001275EC"/>
    <w:rsid w:val="001302F0"/>
    <w:rsid w:val="00131E94"/>
    <w:rsid w:val="00132375"/>
    <w:rsid w:val="00141D13"/>
    <w:rsid w:val="00151544"/>
    <w:rsid w:val="00152B7B"/>
    <w:rsid w:val="00154334"/>
    <w:rsid w:val="00156365"/>
    <w:rsid w:val="00157A66"/>
    <w:rsid w:val="00157E1D"/>
    <w:rsid w:val="00160F61"/>
    <w:rsid w:val="00161F8B"/>
    <w:rsid w:val="001658C4"/>
    <w:rsid w:val="00165C10"/>
    <w:rsid w:val="00165F28"/>
    <w:rsid w:val="00185AF0"/>
    <w:rsid w:val="001876CD"/>
    <w:rsid w:val="0018784F"/>
    <w:rsid w:val="00190456"/>
    <w:rsid w:val="00191E30"/>
    <w:rsid w:val="00191E7E"/>
    <w:rsid w:val="0019228B"/>
    <w:rsid w:val="00193D7C"/>
    <w:rsid w:val="00195229"/>
    <w:rsid w:val="00196496"/>
    <w:rsid w:val="00197911"/>
    <w:rsid w:val="001A189D"/>
    <w:rsid w:val="001A233E"/>
    <w:rsid w:val="001A3648"/>
    <w:rsid w:val="001A39A1"/>
    <w:rsid w:val="001A4E04"/>
    <w:rsid w:val="001A5670"/>
    <w:rsid w:val="001A7FDE"/>
    <w:rsid w:val="001B0A79"/>
    <w:rsid w:val="001B0CFE"/>
    <w:rsid w:val="001B3D6B"/>
    <w:rsid w:val="001B4801"/>
    <w:rsid w:val="001C1423"/>
    <w:rsid w:val="001C1C75"/>
    <w:rsid w:val="001C6E5C"/>
    <w:rsid w:val="001D122C"/>
    <w:rsid w:val="001D5C8F"/>
    <w:rsid w:val="001D7EF4"/>
    <w:rsid w:val="001E057D"/>
    <w:rsid w:val="001E162F"/>
    <w:rsid w:val="001E65F3"/>
    <w:rsid w:val="001F3799"/>
    <w:rsid w:val="0020050D"/>
    <w:rsid w:val="002005A1"/>
    <w:rsid w:val="00201B42"/>
    <w:rsid w:val="00205AAA"/>
    <w:rsid w:val="00205BCE"/>
    <w:rsid w:val="0021186D"/>
    <w:rsid w:val="00213434"/>
    <w:rsid w:val="00213FC8"/>
    <w:rsid w:val="00214DBC"/>
    <w:rsid w:val="00215715"/>
    <w:rsid w:val="002226A6"/>
    <w:rsid w:val="00224343"/>
    <w:rsid w:val="00231AF9"/>
    <w:rsid w:val="00233FE6"/>
    <w:rsid w:val="00234658"/>
    <w:rsid w:val="002355F6"/>
    <w:rsid w:val="002433AF"/>
    <w:rsid w:val="002465BA"/>
    <w:rsid w:val="00252CAA"/>
    <w:rsid w:val="00254D94"/>
    <w:rsid w:val="00256A9A"/>
    <w:rsid w:val="00262920"/>
    <w:rsid w:val="002656C6"/>
    <w:rsid w:val="00266A06"/>
    <w:rsid w:val="00270EC3"/>
    <w:rsid w:val="00270EF5"/>
    <w:rsid w:val="0027186D"/>
    <w:rsid w:val="00281837"/>
    <w:rsid w:val="00281DA2"/>
    <w:rsid w:val="00284D91"/>
    <w:rsid w:val="00296A24"/>
    <w:rsid w:val="00297D1D"/>
    <w:rsid w:val="002A062E"/>
    <w:rsid w:val="002A1B58"/>
    <w:rsid w:val="002A1D48"/>
    <w:rsid w:val="002A3B35"/>
    <w:rsid w:val="002A446E"/>
    <w:rsid w:val="002A4DB0"/>
    <w:rsid w:val="002A5482"/>
    <w:rsid w:val="002B2651"/>
    <w:rsid w:val="002B268D"/>
    <w:rsid w:val="002B2BBE"/>
    <w:rsid w:val="002C1B78"/>
    <w:rsid w:val="002C5FEB"/>
    <w:rsid w:val="002C75FC"/>
    <w:rsid w:val="002D015F"/>
    <w:rsid w:val="002D0BB7"/>
    <w:rsid w:val="002D3A31"/>
    <w:rsid w:val="002D4F17"/>
    <w:rsid w:val="002D5C46"/>
    <w:rsid w:val="002D7F3E"/>
    <w:rsid w:val="002E0004"/>
    <w:rsid w:val="002E0188"/>
    <w:rsid w:val="002E2B51"/>
    <w:rsid w:val="002E55D1"/>
    <w:rsid w:val="002E5A69"/>
    <w:rsid w:val="002E722A"/>
    <w:rsid w:val="002F217F"/>
    <w:rsid w:val="00301168"/>
    <w:rsid w:val="00304465"/>
    <w:rsid w:val="00304819"/>
    <w:rsid w:val="00307FC6"/>
    <w:rsid w:val="0031001C"/>
    <w:rsid w:val="003130B1"/>
    <w:rsid w:val="003221C4"/>
    <w:rsid w:val="00330AFD"/>
    <w:rsid w:val="0033786C"/>
    <w:rsid w:val="00337AE0"/>
    <w:rsid w:val="00341084"/>
    <w:rsid w:val="003423B6"/>
    <w:rsid w:val="003431B5"/>
    <w:rsid w:val="00345EB8"/>
    <w:rsid w:val="003513F5"/>
    <w:rsid w:val="00352284"/>
    <w:rsid w:val="0035256A"/>
    <w:rsid w:val="00352A14"/>
    <w:rsid w:val="0035461F"/>
    <w:rsid w:val="00354CF7"/>
    <w:rsid w:val="00355360"/>
    <w:rsid w:val="003577AE"/>
    <w:rsid w:val="003623B6"/>
    <w:rsid w:val="00364114"/>
    <w:rsid w:val="00364FC4"/>
    <w:rsid w:val="00365687"/>
    <w:rsid w:val="0037363E"/>
    <w:rsid w:val="00373DD9"/>
    <w:rsid w:val="0037500E"/>
    <w:rsid w:val="00375EAE"/>
    <w:rsid w:val="0038460D"/>
    <w:rsid w:val="00384E05"/>
    <w:rsid w:val="00386976"/>
    <w:rsid w:val="003904BE"/>
    <w:rsid w:val="00391E2D"/>
    <w:rsid w:val="003964FB"/>
    <w:rsid w:val="003A0B16"/>
    <w:rsid w:val="003A2757"/>
    <w:rsid w:val="003A43EA"/>
    <w:rsid w:val="003A47DA"/>
    <w:rsid w:val="003B1C26"/>
    <w:rsid w:val="003B1FE3"/>
    <w:rsid w:val="003B2B0A"/>
    <w:rsid w:val="003C20A0"/>
    <w:rsid w:val="003C2D90"/>
    <w:rsid w:val="003C6640"/>
    <w:rsid w:val="003D13CF"/>
    <w:rsid w:val="003D1BE3"/>
    <w:rsid w:val="003D59F3"/>
    <w:rsid w:val="003F0579"/>
    <w:rsid w:val="003F060C"/>
    <w:rsid w:val="003F39B5"/>
    <w:rsid w:val="003F57F2"/>
    <w:rsid w:val="003F600D"/>
    <w:rsid w:val="00404436"/>
    <w:rsid w:val="004045D5"/>
    <w:rsid w:val="00407991"/>
    <w:rsid w:val="00411C60"/>
    <w:rsid w:val="00416537"/>
    <w:rsid w:val="00427326"/>
    <w:rsid w:val="00427AE7"/>
    <w:rsid w:val="00431477"/>
    <w:rsid w:val="004316B7"/>
    <w:rsid w:val="0043196C"/>
    <w:rsid w:val="00435CF9"/>
    <w:rsid w:val="00436034"/>
    <w:rsid w:val="00440C3C"/>
    <w:rsid w:val="004427A9"/>
    <w:rsid w:val="004435E3"/>
    <w:rsid w:val="004464D0"/>
    <w:rsid w:val="00451169"/>
    <w:rsid w:val="00453827"/>
    <w:rsid w:val="00453DD4"/>
    <w:rsid w:val="004557B9"/>
    <w:rsid w:val="00461EC0"/>
    <w:rsid w:val="00467780"/>
    <w:rsid w:val="0046788D"/>
    <w:rsid w:val="0047082D"/>
    <w:rsid w:val="00470DDA"/>
    <w:rsid w:val="00471F0C"/>
    <w:rsid w:val="0047241C"/>
    <w:rsid w:val="0047261E"/>
    <w:rsid w:val="00473214"/>
    <w:rsid w:val="00477AE8"/>
    <w:rsid w:val="00480A35"/>
    <w:rsid w:val="00482E94"/>
    <w:rsid w:val="004833E5"/>
    <w:rsid w:val="00483B8D"/>
    <w:rsid w:val="00484962"/>
    <w:rsid w:val="00491429"/>
    <w:rsid w:val="00491BBE"/>
    <w:rsid w:val="0049329F"/>
    <w:rsid w:val="00494F1F"/>
    <w:rsid w:val="004A1706"/>
    <w:rsid w:val="004A3DA7"/>
    <w:rsid w:val="004A6303"/>
    <w:rsid w:val="004B0C2F"/>
    <w:rsid w:val="004B1547"/>
    <w:rsid w:val="004B2F9D"/>
    <w:rsid w:val="004B3EEC"/>
    <w:rsid w:val="004B5C6F"/>
    <w:rsid w:val="004B7CD7"/>
    <w:rsid w:val="004C1F22"/>
    <w:rsid w:val="004C63ED"/>
    <w:rsid w:val="004D061F"/>
    <w:rsid w:val="004D0FB3"/>
    <w:rsid w:val="004D2BE0"/>
    <w:rsid w:val="004E1106"/>
    <w:rsid w:val="004E4A09"/>
    <w:rsid w:val="004E5600"/>
    <w:rsid w:val="004F445C"/>
    <w:rsid w:val="004F4B4A"/>
    <w:rsid w:val="004F5A3F"/>
    <w:rsid w:val="004F5E97"/>
    <w:rsid w:val="004F7DA0"/>
    <w:rsid w:val="00502945"/>
    <w:rsid w:val="005036A3"/>
    <w:rsid w:val="005113FC"/>
    <w:rsid w:val="00511EFA"/>
    <w:rsid w:val="005128D3"/>
    <w:rsid w:val="0051618B"/>
    <w:rsid w:val="005227CC"/>
    <w:rsid w:val="00522CED"/>
    <w:rsid w:val="0052721C"/>
    <w:rsid w:val="005277C2"/>
    <w:rsid w:val="005308F2"/>
    <w:rsid w:val="00531848"/>
    <w:rsid w:val="00536ECE"/>
    <w:rsid w:val="005526F7"/>
    <w:rsid w:val="00555766"/>
    <w:rsid w:val="00560589"/>
    <w:rsid w:val="0056095E"/>
    <w:rsid w:val="00565DF3"/>
    <w:rsid w:val="005673D1"/>
    <w:rsid w:val="005722A6"/>
    <w:rsid w:val="00572398"/>
    <w:rsid w:val="00575491"/>
    <w:rsid w:val="00577149"/>
    <w:rsid w:val="00580168"/>
    <w:rsid w:val="00581694"/>
    <w:rsid w:val="00582181"/>
    <w:rsid w:val="00590688"/>
    <w:rsid w:val="00595F29"/>
    <w:rsid w:val="00597627"/>
    <w:rsid w:val="005A06B4"/>
    <w:rsid w:val="005A095E"/>
    <w:rsid w:val="005A0EC5"/>
    <w:rsid w:val="005A1DD7"/>
    <w:rsid w:val="005A1FEE"/>
    <w:rsid w:val="005A37BD"/>
    <w:rsid w:val="005B2611"/>
    <w:rsid w:val="005B50EF"/>
    <w:rsid w:val="005B70C3"/>
    <w:rsid w:val="005B7823"/>
    <w:rsid w:val="005B7B2B"/>
    <w:rsid w:val="005C4E05"/>
    <w:rsid w:val="005C58C9"/>
    <w:rsid w:val="005C6D9B"/>
    <w:rsid w:val="005D0787"/>
    <w:rsid w:val="005D43E4"/>
    <w:rsid w:val="005D7D65"/>
    <w:rsid w:val="005D7EEB"/>
    <w:rsid w:val="005D7F30"/>
    <w:rsid w:val="005E06F6"/>
    <w:rsid w:val="005E2269"/>
    <w:rsid w:val="005E2E70"/>
    <w:rsid w:val="005E4B37"/>
    <w:rsid w:val="005E71C0"/>
    <w:rsid w:val="005F209A"/>
    <w:rsid w:val="005F296D"/>
    <w:rsid w:val="005F570A"/>
    <w:rsid w:val="006007D8"/>
    <w:rsid w:val="006015C5"/>
    <w:rsid w:val="006041ED"/>
    <w:rsid w:val="00607119"/>
    <w:rsid w:val="00607E50"/>
    <w:rsid w:val="0061095C"/>
    <w:rsid w:val="006110EF"/>
    <w:rsid w:val="00611705"/>
    <w:rsid w:val="006153AF"/>
    <w:rsid w:val="00626B26"/>
    <w:rsid w:val="00630951"/>
    <w:rsid w:val="00631822"/>
    <w:rsid w:val="00632C69"/>
    <w:rsid w:val="00635547"/>
    <w:rsid w:val="0063640B"/>
    <w:rsid w:val="00640C7E"/>
    <w:rsid w:val="00644BF0"/>
    <w:rsid w:val="00645DA4"/>
    <w:rsid w:val="00650FE2"/>
    <w:rsid w:val="00654A72"/>
    <w:rsid w:val="00655A81"/>
    <w:rsid w:val="00656934"/>
    <w:rsid w:val="0065699B"/>
    <w:rsid w:val="00660F4C"/>
    <w:rsid w:val="0066179F"/>
    <w:rsid w:val="0066662B"/>
    <w:rsid w:val="00670981"/>
    <w:rsid w:val="00671BAE"/>
    <w:rsid w:val="00673526"/>
    <w:rsid w:val="0067363A"/>
    <w:rsid w:val="006752F6"/>
    <w:rsid w:val="00677222"/>
    <w:rsid w:val="00683C63"/>
    <w:rsid w:val="00684E31"/>
    <w:rsid w:val="0069185F"/>
    <w:rsid w:val="006918CF"/>
    <w:rsid w:val="00691EE1"/>
    <w:rsid w:val="00693444"/>
    <w:rsid w:val="0069448C"/>
    <w:rsid w:val="006A40AB"/>
    <w:rsid w:val="006A582A"/>
    <w:rsid w:val="006B0073"/>
    <w:rsid w:val="006B1D62"/>
    <w:rsid w:val="006B3AE4"/>
    <w:rsid w:val="006B51DD"/>
    <w:rsid w:val="006B5CAB"/>
    <w:rsid w:val="006C4557"/>
    <w:rsid w:val="006C46F5"/>
    <w:rsid w:val="006C4DFB"/>
    <w:rsid w:val="006C5B79"/>
    <w:rsid w:val="006C6926"/>
    <w:rsid w:val="006D1335"/>
    <w:rsid w:val="006D5EBB"/>
    <w:rsid w:val="006D67CC"/>
    <w:rsid w:val="006D7916"/>
    <w:rsid w:val="006E44A6"/>
    <w:rsid w:val="006E4729"/>
    <w:rsid w:val="006E70CA"/>
    <w:rsid w:val="006F11C3"/>
    <w:rsid w:val="006F17C0"/>
    <w:rsid w:val="006F2372"/>
    <w:rsid w:val="006F32EE"/>
    <w:rsid w:val="006F4B75"/>
    <w:rsid w:val="006F71BF"/>
    <w:rsid w:val="0070124B"/>
    <w:rsid w:val="00703770"/>
    <w:rsid w:val="0071595B"/>
    <w:rsid w:val="007220E3"/>
    <w:rsid w:val="0072228D"/>
    <w:rsid w:val="00726192"/>
    <w:rsid w:val="007329A2"/>
    <w:rsid w:val="00733D16"/>
    <w:rsid w:val="00741860"/>
    <w:rsid w:val="00741AE9"/>
    <w:rsid w:val="00742182"/>
    <w:rsid w:val="00743F86"/>
    <w:rsid w:val="00750B3B"/>
    <w:rsid w:val="00750EF8"/>
    <w:rsid w:val="007535C7"/>
    <w:rsid w:val="0076038E"/>
    <w:rsid w:val="0076224E"/>
    <w:rsid w:val="00762528"/>
    <w:rsid w:val="007635AA"/>
    <w:rsid w:val="00767E8A"/>
    <w:rsid w:val="00770B6D"/>
    <w:rsid w:val="007710BC"/>
    <w:rsid w:val="00772A5B"/>
    <w:rsid w:val="00776004"/>
    <w:rsid w:val="007767CE"/>
    <w:rsid w:val="00780199"/>
    <w:rsid w:val="0078116F"/>
    <w:rsid w:val="007819F7"/>
    <w:rsid w:val="0078782D"/>
    <w:rsid w:val="007914F3"/>
    <w:rsid w:val="007935EC"/>
    <w:rsid w:val="007A28DB"/>
    <w:rsid w:val="007A4907"/>
    <w:rsid w:val="007A6265"/>
    <w:rsid w:val="007B18DA"/>
    <w:rsid w:val="007B3E03"/>
    <w:rsid w:val="007B4F8B"/>
    <w:rsid w:val="007C17E0"/>
    <w:rsid w:val="007C1C64"/>
    <w:rsid w:val="007D0CA8"/>
    <w:rsid w:val="007D38E6"/>
    <w:rsid w:val="007D4875"/>
    <w:rsid w:val="007D5FE5"/>
    <w:rsid w:val="007D6885"/>
    <w:rsid w:val="007E085E"/>
    <w:rsid w:val="007E43D6"/>
    <w:rsid w:val="007E4FE7"/>
    <w:rsid w:val="007E695F"/>
    <w:rsid w:val="007F01C7"/>
    <w:rsid w:val="007F2553"/>
    <w:rsid w:val="007F273D"/>
    <w:rsid w:val="007F2775"/>
    <w:rsid w:val="007F2CBD"/>
    <w:rsid w:val="007F7507"/>
    <w:rsid w:val="007F7D15"/>
    <w:rsid w:val="00805FDF"/>
    <w:rsid w:val="00811BB4"/>
    <w:rsid w:val="00812716"/>
    <w:rsid w:val="0081774C"/>
    <w:rsid w:val="00820611"/>
    <w:rsid w:val="00821D76"/>
    <w:rsid w:val="00821EB1"/>
    <w:rsid w:val="00831A83"/>
    <w:rsid w:val="008409B1"/>
    <w:rsid w:val="008435B6"/>
    <w:rsid w:val="00844A5A"/>
    <w:rsid w:val="00850A8A"/>
    <w:rsid w:val="00855303"/>
    <w:rsid w:val="0086660C"/>
    <w:rsid w:val="00866F85"/>
    <w:rsid w:val="008674CC"/>
    <w:rsid w:val="008678C5"/>
    <w:rsid w:val="00867918"/>
    <w:rsid w:val="00867FD7"/>
    <w:rsid w:val="0087196C"/>
    <w:rsid w:val="00875DD3"/>
    <w:rsid w:val="0087657F"/>
    <w:rsid w:val="008846E7"/>
    <w:rsid w:val="00890AC3"/>
    <w:rsid w:val="00893717"/>
    <w:rsid w:val="00894CBA"/>
    <w:rsid w:val="00896A04"/>
    <w:rsid w:val="008977FA"/>
    <w:rsid w:val="008A2A13"/>
    <w:rsid w:val="008A3D0D"/>
    <w:rsid w:val="008A4B54"/>
    <w:rsid w:val="008A74FE"/>
    <w:rsid w:val="008B4E70"/>
    <w:rsid w:val="008C121C"/>
    <w:rsid w:val="008C2560"/>
    <w:rsid w:val="008D0641"/>
    <w:rsid w:val="008D1366"/>
    <w:rsid w:val="008D160F"/>
    <w:rsid w:val="008D40C4"/>
    <w:rsid w:val="008D550B"/>
    <w:rsid w:val="008D73CE"/>
    <w:rsid w:val="008E2E7F"/>
    <w:rsid w:val="008E4A56"/>
    <w:rsid w:val="008E4D01"/>
    <w:rsid w:val="008E5D7F"/>
    <w:rsid w:val="008F0BF4"/>
    <w:rsid w:val="008F1032"/>
    <w:rsid w:val="008F131C"/>
    <w:rsid w:val="008F1923"/>
    <w:rsid w:val="008F1B61"/>
    <w:rsid w:val="008F1B77"/>
    <w:rsid w:val="008F4A96"/>
    <w:rsid w:val="008F6183"/>
    <w:rsid w:val="0090005F"/>
    <w:rsid w:val="009033A6"/>
    <w:rsid w:val="009048D5"/>
    <w:rsid w:val="00904CF7"/>
    <w:rsid w:val="00920269"/>
    <w:rsid w:val="00921E97"/>
    <w:rsid w:val="00923075"/>
    <w:rsid w:val="009305D1"/>
    <w:rsid w:val="0093501D"/>
    <w:rsid w:val="00937924"/>
    <w:rsid w:val="009409F1"/>
    <w:rsid w:val="009433A0"/>
    <w:rsid w:val="00943C1D"/>
    <w:rsid w:val="00947DBE"/>
    <w:rsid w:val="0095184A"/>
    <w:rsid w:val="00955BFB"/>
    <w:rsid w:val="00956090"/>
    <w:rsid w:val="00957338"/>
    <w:rsid w:val="00960B02"/>
    <w:rsid w:val="00962AC9"/>
    <w:rsid w:val="00964AD6"/>
    <w:rsid w:val="00964D33"/>
    <w:rsid w:val="00965597"/>
    <w:rsid w:val="0097538F"/>
    <w:rsid w:val="00977247"/>
    <w:rsid w:val="00977794"/>
    <w:rsid w:val="00985496"/>
    <w:rsid w:val="009914B9"/>
    <w:rsid w:val="009928F1"/>
    <w:rsid w:val="00993EB1"/>
    <w:rsid w:val="00996F16"/>
    <w:rsid w:val="009A210E"/>
    <w:rsid w:val="009A3617"/>
    <w:rsid w:val="009A3D32"/>
    <w:rsid w:val="009A51BC"/>
    <w:rsid w:val="009A6721"/>
    <w:rsid w:val="009A7F8B"/>
    <w:rsid w:val="009B214C"/>
    <w:rsid w:val="009B29A5"/>
    <w:rsid w:val="009B5092"/>
    <w:rsid w:val="009B5534"/>
    <w:rsid w:val="009C11B7"/>
    <w:rsid w:val="009C16EA"/>
    <w:rsid w:val="009C436D"/>
    <w:rsid w:val="009C4AA1"/>
    <w:rsid w:val="009C7AE0"/>
    <w:rsid w:val="009D02AD"/>
    <w:rsid w:val="009D2674"/>
    <w:rsid w:val="009D2D63"/>
    <w:rsid w:val="009D7CB9"/>
    <w:rsid w:val="009E00B9"/>
    <w:rsid w:val="009E5811"/>
    <w:rsid w:val="009E5C97"/>
    <w:rsid w:val="009E6AA3"/>
    <w:rsid w:val="009E7F14"/>
    <w:rsid w:val="009F22A6"/>
    <w:rsid w:val="009F2A1C"/>
    <w:rsid w:val="009F6175"/>
    <w:rsid w:val="009F7297"/>
    <w:rsid w:val="00A015DF"/>
    <w:rsid w:val="00A03B49"/>
    <w:rsid w:val="00A04E4A"/>
    <w:rsid w:val="00A061A5"/>
    <w:rsid w:val="00A1102E"/>
    <w:rsid w:val="00A11951"/>
    <w:rsid w:val="00A147E7"/>
    <w:rsid w:val="00A14F76"/>
    <w:rsid w:val="00A16229"/>
    <w:rsid w:val="00A17C19"/>
    <w:rsid w:val="00A2073C"/>
    <w:rsid w:val="00A23A9C"/>
    <w:rsid w:val="00A3235D"/>
    <w:rsid w:val="00A33EA9"/>
    <w:rsid w:val="00A43F42"/>
    <w:rsid w:val="00A5221A"/>
    <w:rsid w:val="00A52ABA"/>
    <w:rsid w:val="00A55BCF"/>
    <w:rsid w:val="00A564A7"/>
    <w:rsid w:val="00A6117C"/>
    <w:rsid w:val="00A625CC"/>
    <w:rsid w:val="00A63BE1"/>
    <w:rsid w:val="00A64E85"/>
    <w:rsid w:val="00A67D12"/>
    <w:rsid w:val="00A769D2"/>
    <w:rsid w:val="00A8056B"/>
    <w:rsid w:val="00A81719"/>
    <w:rsid w:val="00A81FA8"/>
    <w:rsid w:val="00A850F7"/>
    <w:rsid w:val="00A94F56"/>
    <w:rsid w:val="00A95A9D"/>
    <w:rsid w:val="00A96F97"/>
    <w:rsid w:val="00AA0AEE"/>
    <w:rsid w:val="00AA0B96"/>
    <w:rsid w:val="00AA0C88"/>
    <w:rsid w:val="00AA0F85"/>
    <w:rsid w:val="00AA2AB4"/>
    <w:rsid w:val="00AA5500"/>
    <w:rsid w:val="00AB26BC"/>
    <w:rsid w:val="00AB27CD"/>
    <w:rsid w:val="00AB2A71"/>
    <w:rsid w:val="00AB2FFB"/>
    <w:rsid w:val="00AB3563"/>
    <w:rsid w:val="00AB53AE"/>
    <w:rsid w:val="00AB607C"/>
    <w:rsid w:val="00AB7AEE"/>
    <w:rsid w:val="00AC00CB"/>
    <w:rsid w:val="00AC3AE0"/>
    <w:rsid w:val="00AC496F"/>
    <w:rsid w:val="00AD02E4"/>
    <w:rsid w:val="00AD0440"/>
    <w:rsid w:val="00AD3CD2"/>
    <w:rsid w:val="00AD5E1C"/>
    <w:rsid w:val="00AD69EB"/>
    <w:rsid w:val="00AE0686"/>
    <w:rsid w:val="00AE1858"/>
    <w:rsid w:val="00AE19EA"/>
    <w:rsid w:val="00AE2861"/>
    <w:rsid w:val="00AE460E"/>
    <w:rsid w:val="00AE6D63"/>
    <w:rsid w:val="00AF0438"/>
    <w:rsid w:val="00AF3F7F"/>
    <w:rsid w:val="00AF58CD"/>
    <w:rsid w:val="00AF6E18"/>
    <w:rsid w:val="00B0047B"/>
    <w:rsid w:val="00B04E9B"/>
    <w:rsid w:val="00B06086"/>
    <w:rsid w:val="00B120C9"/>
    <w:rsid w:val="00B125F0"/>
    <w:rsid w:val="00B137AB"/>
    <w:rsid w:val="00B14247"/>
    <w:rsid w:val="00B16F5D"/>
    <w:rsid w:val="00B25362"/>
    <w:rsid w:val="00B25F4D"/>
    <w:rsid w:val="00B40206"/>
    <w:rsid w:val="00B40C3E"/>
    <w:rsid w:val="00B43C55"/>
    <w:rsid w:val="00B50361"/>
    <w:rsid w:val="00B51187"/>
    <w:rsid w:val="00B5320D"/>
    <w:rsid w:val="00B53868"/>
    <w:rsid w:val="00B53876"/>
    <w:rsid w:val="00B5387B"/>
    <w:rsid w:val="00B53E7A"/>
    <w:rsid w:val="00B559B8"/>
    <w:rsid w:val="00B55FDA"/>
    <w:rsid w:val="00B57CF5"/>
    <w:rsid w:val="00B60723"/>
    <w:rsid w:val="00B624D3"/>
    <w:rsid w:val="00B63198"/>
    <w:rsid w:val="00B63C53"/>
    <w:rsid w:val="00B64CC8"/>
    <w:rsid w:val="00B6693C"/>
    <w:rsid w:val="00B75B6C"/>
    <w:rsid w:val="00B7629B"/>
    <w:rsid w:val="00B76C43"/>
    <w:rsid w:val="00B8162F"/>
    <w:rsid w:val="00B83632"/>
    <w:rsid w:val="00B83A03"/>
    <w:rsid w:val="00B91408"/>
    <w:rsid w:val="00BA0CA3"/>
    <w:rsid w:val="00BA33B5"/>
    <w:rsid w:val="00BA7493"/>
    <w:rsid w:val="00BC49E9"/>
    <w:rsid w:val="00BC67E6"/>
    <w:rsid w:val="00BC6A70"/>
    <w:rsid w:val="00BD28B2"/>
    <w:rsid w:val="00BD3C1F"/>
    <w:rsid w:val="00BD3D59"/>
    <w:rsid w:val="00BE62BD"/>
    <w:rsid w:val="00BF31E4"/>
    <w:rsid w:val="00BF4B86"/>
    <w:rsid w:val="00C016B2"/>
    <w:rsid w:val="00C06B4F"/>
    <w:rsid w:val="00C13464"/>
    <w:rsid w:val="00C14867"/>
    <w:rsid w:val="00C1486B"/>
    <w:rsid w:val="00C2156E"/>
    <w:rsid w:val="00C22046"/>
    <w:rsid w:val="00C23A64"/>
    <w:rsid w:val="00C246FD"/>
    <w:rsid w:val="00C331D8"/>
    <w:rsid w:val="00C33293"/>
    <w:rsid w:val="00C371F1"/>
    <w:rsid w:val="00C41BA4"/>
    <w:rsid w:val="00C43405"/>
    <w:rsid w:val="00C463B9"/>
    <w:rsid w:val="00C46689"/>
    <w:rsid w:val="00C47C7B"/>
    <w:rsid w:val="00C5029F"/>
    <w:rsid w:val="00C50DFE"/>
    <w:rsid w:val="00C51204"/>
    <w:rsid w:val="00C51F94"/>
    <w:rsid w:val="00C523D5"/>
    <w:rsid w:val="00C52E78"/>
    <w:rsid w:val="00C53180"/>
    <w:rsid w:val="00C549ED"/>
    <w:rsid w:val="00C559C2"/>
    <w:rsid w:val="00C605A0"/>
    <w:rsid w:val="00C72FEF"/>
    <w:rsid w:val="00C76225"/>
    <w:rsid w:val="00C84CF8"/>
    <w:rsid w:val="00C84EC3"/>
    <w:rsid w:val="00C86814"/>
    <w:rsid w:val="00C90FA4"/>
    <w:rsid w:val="00C93472"/>
    <w:rsid w:val="00C94238"/>
    <w:rsid w:val="00C95B7D"/>
    <w:rsid w:val="00C96B76"/>
    <w:rsid w:val="00CA1997"/>
    <w:rsid w:val="00CA2984"/>
    <w:rsid w:val="00CA40CE"/>
    <w:rsid w:val="00CA45CF"/>
    <w:rsid w:val="00CA5385"/>
    <w:rsid w:val="00CA6ECA"/>
    <w:rsid w:val="00CB061D"/>
    <w:rsid w:val="00CB07E0"/>
    <w:rsid w:val="00CB5F17"/>
    <w:rsid w:val="00CB61C5"/>
    <w:rsid w:val="00CC343D"/>
    <w:rsid w:val="00CD4579"/>
    <w:rsid w:val="00CD4BFC"/>
    <w:rsid w:val="00CE135C"/>
    <w:rsid w:val="00CE3065"/>
    <w:rsid w:val="00CE4AD5"/>
    <w:rsid w:val="00CE62BD"/>
    <w:rsid w:val="00CF1F46"/>
    <w:rsid w:val="00CF48EF"/>
    <w:rsid w:val="00CF731D"/>
    <w:rsid w:val="00D0190E"/>
    <w:rsid w:val="00D019A0"/>
    <w:rsid w:val="00D0203E"/>
    <w:rsid w:val="00D023D9"/>
    <w:rsid w:val="00D0544A"/>
    <w:rsid w:val="00D11103"/>
    <w:rsid w:val="00D1604C"/>
    <w:rsid w:val="00D16109"/>
    <w:rsid w:val="00D206F4"/>
    <w:rsid w:val="00D20ED0"/>
    <w:rsid w:val="00D20EF2"/>
    <w:rsid w:val="00D21F18"/>
    <w:rsid w:val="00D276BC"/>
    <w:rsid w:val="00D27B1E"/>
    <w:rsid w:val="00D32549"/>
    <w:rsid w:val="00D32867"/>
    <w:rsid w:val="00D47963"/>
    <w:rsid w:val="00D5097D"/>
    <w:rsid w:val="00D50A71"/>
    <w:rsid w:val="00D54923"/>
    <w:rsid w:val="00D54DC5"/>
    <w:rsid w:val="00D561C5"/>
    <w:rsid w:val="00D5708D"/>
    <w:rsid w:val="00D6148F"/>
    <w:rsid w:val="00D62E5D"/>
    <w:rsid w:val="00D62FEA"/>
    <w:rsid w:val="00D63026"/>
    <w:rsid w:val="00D632FB"/>
    <w:rsid w:val="00D667B4"/>
    <w:rsid w:val="00D67823"/>
    <w:rsid w:val="00D727AE"/>
    <w:rsid w:val="00D72D5A"/>
    <w:rsid w:val="00D80EA0"/>
    <w:rsid w:val="00D8122B"/>
    <w:rsid w:val="00D82721"/>
    <w:rsid w:val="00D8331F"/>
    <w:rsid w:val="00D84175"/>
    <w:rsid w:val="00D866F3"/>
    <w:rsid w:val="00D91C07"/>
    <w:rsid w:val="00D920E1"/>
    <w:rsid w:val="00D92E57"/>
    <w:rsid w:val="00DA0661"/>
    <w:rsid w:val="00DA1530"/>
    <w:rsid w:val="00DA2FD3"/>
    <w:rsid w:val="00DA32A8"/>
    <w:rsid w:val="00DA517A"/>
    <w:rsid w:val="00DA5A1F"/>
    <w:rsid w:val="00DA6057"/>
    <w:rsid w:val="00DB3777"/>
    <w:rsid w:val="00DB6A17"/>
    <w:rsid w:val="00DC1A27"/>
    <w:rsid w:val="00DC29FB"/>
    <w:rsid w:val="00DD1885"/>
    <w:rsid w:val="00DD1AAA"/>
    <w:rsid w:val="00DD6D42"/>
    <w:rsid w:val="00DD7192"/>
    <w:rsid w:val="00DE03A1"/>
    <w:rsid w:val="00DE128F"/>
    <w:rsid w:val="00DE14C8"/>
    <w:rsid w:val="00DE2CF0"/>
    <w:rsid w:val="00DE3793"/>
    <w:rsid w:val="00DE47C4"/>
    <w:rsid w:val="00DE5C8C"/>
    <w:rsid w:val="00DE7268"/>
    <w:rsid w:val="00DF20FE"/>
    <w:rsid w:val="00DF331A"/>
    <w:rsid w:val="00E012B2"/>
    <w:rsid w:val="00E0351D"/>
    <w:rsid w:val="00E04867"/>
    <w:rsid w:val="00E04949"/>
    <w:rsid w:val="00E0725C"/>
    <w:rsid w:val="00E076B1"/>
    <w:rsid w:val="00E10DCF"/>
    <w:rsid w:val="00E12209"/>
    <w:rsid w:val="00E13675"/>
    <w:rsid w:val="00E16C0F"/>
    <w:rsid w:val="00E24112"/>
    <w:rsid w:val="00E24496"/>
    <w:rsid w:val="00E25966"/>
    <w:rsid w:val="00E26BCA"/>
    <w:rsid w:val="00E34091"/>
    <w:rsid w:val="00E40E2F"/>
    <w:rsid w:val="00E4199F"/>
    <w:rsid w:val="00E41D2C"/>
    <w:rsid w:val="00E436B8"/>
    <w:rsid w:val="00E44D5B"/>
    <w:rsid w:val="00E4681C"/>
    <w:rsid w:val="00E470E7"/>
    <w:rsid w:val="00E51575"/>
    <w:rsid w:val="00E5184D"/>
    <w:rsid w:val="00E545DC"/>
    <w:rsid w:val="00E63C75"/>
    <w:rsid w:val="00E66C1E"/>
    <w:rsid w:val="00E671A7"/>
    <w:rsid w:val="00E70A54"/>
    <w:rsid w:val="00E711E2"/>
    <w:rsid w:val="00E728A2"/>
    <w:rsid w:val="00E72931"/>
    <w:rsid w:val="00E73232"/>
    <w:rsid w:val="00E747AE"/>
    <w:rsid w:val="00E81D3E"/>
    <w:rsid w:val="00E81F79"/>
    <w:rsid w:val="00E82C9F"/>
    <w:rsid w:val="00E87A59"/>
    <w:rsid w:val="00E9304E"/>
    <w:rsid w:val="00E967BE"/>
    <w:rsid w:val="00EA1811"/>
    <w:rsid w:val="00EA1981"/>
    <w:rsid w:val="00EA526C"/>
    <w:rsid w:val="00EA59DC"/>
    <w:rsid w:val="00EA64F6"/>
    <w:rsid w:val="00EB07FC"/>
    <w:rsid w:val="00EB16DC"/>
    <w:rsid w:val="00EB23D0"/>
    <w:rsid w:val="00EB309E"/>
    <w:rsid w:val="00EB5406"/>
    <w:rsid w:val="00EB5F50"/>
    <w:rsid w:val="00EC16FE"/>
    <w:rsid w:val="00ED00E2"/>
    <w:rsid w:val="00ED4F81"/>
    <w:rsid w:val="00EE2889"/>
    <w:rsid w:val="00EE4C68"/>
    <w:rsid w:val="00EE7CA5"/>
    <w:rsid w:val="00EF0480"/>
    <w:rsid w:val="00EF0FDB"/>
    <w:rsid w:val="00EF4D74"/>
    <w:rsid w:val="00EF5B2A"/>
    <w:rsid w:val="00F00B3E"/>
    <w:rsid w:val="00F01332"/>
    <w:rsid w:val="00F030DA"/>
    <w:rsid w:val="00F04896"/>
    <w:rsid w:val="00F04AB5"/>
    <w:rsid w:val="00F075A8"/>
    <w:rsid w:val="00F27800"/>
    <w:rsid w:val="00F279C6"/>
    <w:rsid w:val="00F30130"/>
    <w:rsid w:val="00F32164"/>
    <w:rsid w:val="00F40984"/>
    <w:rsid w:val="00F40AC3"/>
    <w:rsid w:val="00F473A9"/>
    <w:rsid w:val="00F539D9"/>
    <w:rsid w:val="00F6005F"/>
    <w:rsid w:val="00F64ABD"/>
    <w:rsid w:val="00F67A99"/>
    <w:rsid w:val="00F70FA7"/>
    <w:rsid w:val="00F72FC0"/>
    <w:rsid w:val="00F8022D"/>
    <w:rsid w:val="00F84DF3"/>
    <w:rsid w:val="00F87898"/>
    <w:rsid w:val="00FA09EF"/>
    <w:rsid w:val="00FA24EA"/>
    <w:rsid w:val="00FA3219"/>
    <w:rsid w:val="00FA717C"/>
    <w:rsid w:val="00FA7B8F"/>
    <w:rsid w:val="00FB2408"/>
    <w:rsid w:val="00FB2555"/>
    <w:rsid w:val="00FB389A"/>
    <w:rsid w:val="00FB3AE3"/>
    <w:rsid w:val="00FB76E5"/>
    <w:rsid w:val="00FC1F8D"/>
    <w:rsid w:val="00FC1FC8"/>
    <w:rsid w:val="00FC5B29"/>
    <w:rsid w:val="00FC5EA2"/>
    <w:rsid w:val="00FC6665"/>
    <w:rsid w:val="00FC7A3F"/>
    <w:rsid w:val="00FD382F"/>
    <w:rsid w:val="00FD5580"/>
    <w:rsid w:val="00FD768E"/>
    <w:rsid w:val="00FE279F"/>
    <w:rsid w:val="00FE2DE4"/>
    <w:rsid w:val="00FE7414"/>
    <w:rsid w:val="00FF2F44"/>
    <w:rsid w:val="00FF6193"/>
    <w:rsid w:val="00FF7BF1"/>
    <w:rsid w:val="016C731F"/>
    <w:rsid w:val="026C6AFB"/>
    <w:rsid w:val="03BB0F0E"/>
    <w:rsid w:val="046D4CE5"/>
    <w:rsid w:val="04AB0214"/>
    <w:rsid w:val="07D23129"/>
    <w:rsid w:val="0E073C50"/>
    <w:rsid w:val="0E480DD6"/>
    <w:rsid w:val="162E1BEB"/>
    <w:rsid w:val="2483160F"/>
    <w:rsid w:val="26341A3F"/>
    <w:rsid w:val="27015012"/>
    <w:rsid w:val="2A046FB1"/>
    <w:rsid w:val="403D62A5"/>
    <w:rsid w:val="41103F67"/>
    <w:rsid w:val="414C42BE"/>
    <w:rsid w:val="485D61FB"/>
    <w:rsid w:val="4995576E"/>
    <w:rsid w:val="4BB6228C"/>
    <w:rsid w:val="53B1779E"/>
    <w:rsid w:val="53F07742"/>
    <w:rsid w:val="56410D90"/>
    <w:rsid w:val="72A9789E"/>
    <w:rsid w:val="73BB79D8"/>
    <w:rsid w:val="73C96DEF"/>
    <w:rsid w:val="782A3879"/>
    <w:rsid w:val="790C761C"/>
    <w:rsid w:val="7C9264F3"/>
    <w:rsid w:val="7F435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4"/>
    <w:unhideWhenUsed/>
    <w:qFormat/>
    <w:uiPriority w:val="99"/>
    <w:rPr>
      <w:rFonts w:ascii="Calibri" w:hAnsi="Calibri"/>
    </w:rPr>
  </w:style>
  <w:style w:type="paragraph" w:styleId="4">
    <w:name w:val="toc 5"/>
    <w:basedOn w:val="1"/>
    <w:next w:val="1"/>
    <w:unhideWhenUsed/>
    <w:qFormat/>
    <w:uiPriority w:val="39"/>
    <w:pPr>
      <w:ind w:left="840"/>
      <w:jc w:val="left"/>
    </w:pPr>
    <w:rPr>
      <w:rFonts w:ascii="Calibri" w:hAnsi="Calibri" w:cs="Calibri"/>
      <w:sz w:val="18"/>
      <w:szCs w:val="18"/>
    </w:rPr>
  </w:style>
  <w:style w:type="paragraph" w:styleId="5">
    <w:name w:val="Plain Text"/>
    <w:basedOn w:val="1"/>
    <w:link w:val="22"/>
    <w:qFormat/>
    <w:uiPriority w:val="0"/>
    <w:rPr>
      <w:rFonts w:ascii="宋体" w:hAnsi="Courier New" w:cs="Courier New"/>
      <w:szCs w:val="21"/>
    </w:rPr>
  </w:style>
  <w:style w:type="paragraph" w:styleId="6">
    <w:name w:val="Balloon Text"/>
    <w:basedOn w:val="1"/>
    <w:link w:val="25"/>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Calibri" w:hAnsi="Calibri" w:cs="宋体"/>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9">
    <w:name w:val="Normal (Web)"/>
    <w:basedOn w:val="1"/>
    <w:link w:val="26"/>
    <w:unhideWhenUsed/>
    <w:qFormat/>
    <w:uiPriority w:val="99"/>
    <w:pPr>
      <w:widowControl/>
      <w:spacing w:before="100" w:beforeAutospacing="1" w:after="100" w:afterAutospacing="1"/>
      <w:jc w:val="left"/>
    </w:pPr>
    <w:rPr>
      <w:rFonts w:ascii="宋体" w:hAnsi="宋体" w:cs="宋体"/>
      <w:kern w:val="0"/>
      <w:sz w:val="24"/>
    </w:rPr>
  </w:style>
  <w:style w:type="character" w:styleId="12">
    <w:name w:val="endnote reference"/>
    <w:basedOn w:val="11"/>
    <w:qFormat/>
    <w:uiPriority w:val="0"/>
    <w:rPr>
      <w:rFonts w:ascii="仿宋_GB2312" w:eastAsia="仿宋_GB2312"/>
      <w:b/>
      <w:color w:val="000000"/>
      <w:kern w:val="0"/>
      <w:sz w:val="32"/>
      <w:szCs w:val="32"/>
      <w:vertAlign w:val="superscript"/>
    </w:rPr>
  </w:style>
  <w:style w:type="character" w:styleId="13">
    <w:name w:val="Hyperlink"/>
    <w:basedOn w:val="11"/>
    <w:semiHidden/>
    <w:unhideWhenUsed/>
    <w:qFormat/>
    <w:uiPriority w:val="99"/>
    <w:rPr>
      <w:color w:val="0000FF"/>
      <w:u w:val="single"/>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paragraph" w:customStyle="1" w:styleId="16">
    <w:name w:val="PlainText"/>
    <w:basedOn w:val="1"/>
    <w:qFormat/>
    <w:uiPriority w:val="0"/>
    <w:pPr>
      <w:widowControl/>
      <w:textAlignment w:val="baseline"/>
    </w:pPr>
    <w:rPr>
      <w:rFonts w:ascii="宋体" w:hAnsi="Courier New"/>
      <w:sz w:val="32"/>
      <w:szCs w:val="21"/>
    </w:rPr>
  </w:style>
  <w:style w:type="paragraph" w:customStyle="1" w:styleId="17">
    <w:name w:val="NormalIndent"/>
    <w:basedOn w:val="1"/>
    <w:qFormat/>
    <w:uiPriority w:val="0"/>
    <w:pPr>
      <w:widowControl/>
      <w:ind w:firstLine="420" w:firstLineChars="200"/>
      <w:textAlignment w:val="baseline"/>
    </w:pPr>
    <w:rPr>
      <w:rFonts w:ascii="等线" w:hAnsi="等线" w:eastAsia="仿宋_GB2312"/>
      <w:sz w:val="32"/>
      <w:szCs w:val="20"/>
    </w:rPr>
  </w:style>
  <w:style w:type="character" w:customStyle="1" w:styleId="18">
    <w:name w:val="NormalCharacter"/>
    <w:link w:val="19"/>
    <w:qFormat/>
    <w:uiPriority w:val="0"/>
  </w:style>
  <w:style w:type="paragraph" w:customStyle="1" w:styleId="19">
    <w:name w:val="UserStyle_4"/>
    <w:basedOn w:val="1"/>
    <w:link w:val="18"/>
    <w:qFormat/>
    <w:uiPriority w:val="0"/>
    <w:pPr>
      <w:spacing w:after="160" w:line="240" w:lineRule="exact"/>
      <w:textAlignment w:val="baseline"/>
    </w:pPr>
    <w:rPr>
      <w:rFonts w:ascii="Calibri" w:hAnsi="Calibri"/>
      <w:sz w:val="20"/>
      <w:szCs w:val="20"/>
    </w:rPr>
  </w:style>
  <w:style w:type="paragraph" w:styleId="20">
    <w:name w:val="List Paragraph"/>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22">
    <w:name w:val="纯文本 字符"/>
    <w:basedOn w:val="11"/>
    <w:link w:val="5"/>
    <w:qFormat/>
    <w:uiPriority w:val="0"/>
    <w:rPr>
      <w:rFonts w:ascii="宋体" w:hAnsi="Courier New" w:eastAsia="宋体" w:cs="Courier New"/>
      <w:szCs w:val="21"/>
    </w:rPr>
  </w:style>
  <w:style w:type="paragraph" w:customStyle="1" w:styleId="23">
    <w:name w:val="BodyText1I2"/>
    <w:basedOn w:val="1"/>
    <w:qFormat/>
    <w:uiPriority w:val="0"/>
    <w:pPr>
      <w:widowControl/>
      <w:spacing w:after="120"/>
      <w:ind w:left="420" w:leftChars="200" w:firstLine="420" w:firstLineChars="200"/>
      <w:textAlignment w:val="baseline"/>
    </w:pPr>
    <w:rPr>
      <w:rFonts w:ascii="等线" w:hAnsi="等线" w:eastAsia="仿宋_GB2312"/>
      <w:kern w:val="0"/>
      <w:sz w:val="20"/>
    </w:rPr>
  </w:style>
  <w:style w:type="paragraph" w:customStyle="1" w:styleId="24">
    <w:name w:val="Body text|1"/>
    <w:basedOn w:val="1"/>
    <w:qFormat/>
    <w:uiPriority w:val="0"/>
    <w:pPr>
      <w:widowControl/>
      <w:spacing w:line="425" w:lineRule="auto"/>
      <w:ind w:firstLine="400"/>
      <w:textAlignment w:val="baseline"/>
    </w:pPr>
    <w:rPr>
      <w:rFonts w:ascii="宋体" w:hAnsi="宋体" w:cs="宋体"/>
      <w:sz w:val="30"/>
      <w:szCs w:val="30"/>
      <w:lang w:val="zh-TW" w:eastAsia="zh-TW" w:bidi="zh-TW"/>
    </w:rPr>
  </w:style>
  <w:style w:type="character" w:customStyle="1" w:styleId="25">
    <w:name w:val="批注框文本 字符"/>
    <w:basedOn w:val="11"/>
    <w:link w:val="6"/>
    <w:semiHidden/>
    <w:qFormat/>
    <w:uiPriority w:val="99"/>
    <w:rPr>
      <w:rFonts w:ascii="Times New Roman" w:hAnsi="Times New Roman" w:cs="Times New Roman"/>
      <w:sz w:val="18"/>
      <w:szCs w:val="18"/>
    </w:rPr>
  </w:style>
  <w:style w:type="character" w:customStyle="1" w:styleId="26">
    <w:name w:val="普通(网站) 字符"/>
    <w:link w:val="9"/>
    <w:qFormat/>
    <w:locked/>
    <w:uiPriority w:val="99"/>
    <w:rPr>
      <w:rFonts w:ascii="宋体" w:hAnsi="宋体"/>
      <w:sz w:val="24"/>
      <w:szCs w:val="24"/>
    </w:rPr>
  </w:style>
  <w:style w:type="paragraph" w:customStyle="1" w:styleId="27">
    <w:name w:val="p0"/>
    <w:basedOn w:val="1"/>
    <w:qFormat/>
    <w:uiPriority w:val="99"/>
    <w:pPr>
      <w:widowControl/>
    </w:pPr>
    <w:rPr>
      <w:kern w:val="0"/>
      <w:szCs w:val="21"/>
    </w:rPr>
  </w:style>
  <w:style w:type="paragraph" w:customStyle="1" w:styleId="28">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9">
    <w:name w:val="BodyText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C440B-B940-4210-AF0C-9C251ACD1651}">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Pages>
  <Words>745</Words>
  <Characters>4250</Characters>
  <Lines>35</Lines>
  <Paragraphs>9</Paragraphs>
  <TotalTime>2</TotalTime>
  <ScaleCrop>false</ScaleCrop>
  <LinksUpToDate>false</LinksUpToDate>
  <CharactersWithSpaces>4986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2022-06-06T08:50:00Z</dcterms:created>
  <dc:creator>wq</dc:creator>
  <cp:lastModifiedBy>WPS_1506960273</cp:lastModifiedBy>
  <cp:lastPrinted>2022-04-12T05:03:00Z</cp:lastPrinted>
  <dcterms:modified xsi:type="dcterms:W3CDTF">2022-06-07T01:09:36Z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a186059b77e24809ae6ded397a51f766</vt:lpwstr>
  </property>
  <property fmtid="{D5CDD505-2E9C-101B-9397-08002B2CF9AE}" pid="3" name="KSOProductBuildVer">
    <vt:lpwstr>2052-11.1.0.11339</vt:lpwstr>
  </property>
</Properties>
</file>